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From Control to Facilitation: Business Benefits of Bangladesh’s Import Policy Order 2026–2029</w:t>
      </w:r>
    </w:p>
    <w:p>
      <w:pPr>
        <w:jc w:val="center"/>
      </w:pPr>
      <w:r>
        <w:t>Comparative policy essay</w:t>
      </w:r>
    </w:p>
    <w:p>
      <w:pPr>
        <w:pStyle w:val="Heading1"/>
      </w:pPr>
      <w:r>
        <w:t>Introduction</w:t>
      </w:r>
    </w:p>
    <w:p>
      <w:r>
        <w:t>An import policy order does more than list goods that may or may not enter a country. It shapes how firms plan purchases, finance shipments, obtain inputs and respond to changing markets. Bangladesh’s Import Policy Order (IPO) 2021–2024 provided the framework for the preceding period. The gazette-notified IPO 2026–2029 retains the state’s power to protect health, safety, the environment and legitimate domestic industries, but places greater emphasis on predictable procedures, digital administration, flexible commercial arrangements and export-oriented production. Its value to business lies principally in reducing avoidable uncertainty and transaction costs—not in a general abolition of import duties or regulatory controls. This essay compares the two Orders by asking what a compliant importer, manufacturer or exporter can do more easily under the new framework.</w:t>
      </w:r>
    </w:p>
    <w:p>
      <w:pPr>
        <w:pStyle w:val="Heading1"/>
      </w:pPr>
      <w:r>
        <w:t>A clearer boundary between freedom and control</w:t>
      </w:r>
    </w:p>
    <w:p>
      <w:r>
        <w:t>Both Orders regulate prohibited and conditionally importable goods, and neither gives an unrestricted right to import every product. The 2026–2029 Order states more plainly that goods outside its prohibited or controlled categories are generally importable, subject also to restrictions under other applicable laws. Its Appendix 1 separates controlled goods from prohibited goods. For a business planning a new product line, this clearer distinction helps identify whether a licence, no-objection certificate, technical standard or outright prohibition applies before placing an order. It also reduces the risk of treating an omission from the IPO as an exemption from a separate food, plant, animal, environmental or customs law.</w:t>
      </w:r>
    </w:p>
    <w:p>
      <w:r>
        <w:t>The new Order retains a mechanism for examining restrictions that protect domestic production. A trader or enterprise may take an objection to a prohibition or restriction to the Bangladesh Trade and Tariff Commission for examination and recommendation. Protective measures can also be reviewed where domestic prices increase disproportionately relative to input prices. This does not guarantee that an objection will succeed. It does, however, give businesses a defined institutional route to present evidence on supply shortages, prices and consumer welfare, rather than assuming that a restriction will continue indefinitely.</w:t>
      </w:r>
    </w:p>
    <w:p>
      <w:pPr>
        <w:pStyle w:val="Heading1"/>
      </w:pPr>
      <w:r>
        <w:t>Commercial flexibility in contracts and payment</w:t>
      </w:r>
    </w:p>
    <w:p>
      <w:r>
        <w:t>International purchases do not all follow one shipping or risk-allocation pattern. The new Order expressly permits any internationally recognised Incoterm used in trade, rather than treating a narrow set of traditional terms as the only workable choices. An importer and supplier can therefore select an appropriate allocation of transport, insurance, delivery and risk, provided the transaction meets customs valuation, banking and other legal requirements. The potential benefit is more choice in negotiating logistics and total landed cost; the choice of an Incoterm does not itself remove duties or shift statutory obligations.</w:t>
      </w:r>
    </w:p>
    <w:p>
      <w:r>
        <w:t>The 2026–2029 framework also accommodates more than the conventional letter of credit in specified settings. In particular, its free trade zone provisions contemplate letters of credit, sales contracts, telegraphic transfers, free-of-cost arrangements and other methods permitted by Bangladesh Bank. Firms can match their financing and supply-chain arrangements to the nature of the transaction, while remaining subject to foreign-exchange and customs rules. The practical gain depends on banks and regulators implementing the permitted methods consistently.</w:t>
      </w:r>
    </w:p>
    <w:p>
      <w:pPr>
        <w:pStyle w:val="Heading1"/>
      </w:pPr>
      <w:r>
        <w:t>Digital and risk-based clearance</w:t>
      </w:r>
    </w:p>
    <w:p>
      <w:r>
        <w:t>The earlier Order operated alongside existing customs modernisation, but the new Order sets out a more explicit trade-facilitation agenda. It provides for an Authorized Economic Operator programme for compliant industrial consumers and bulk imports, electronic submission and correction of advance manifests, electronic assessment and payment, and online licences and permits. It also calls for risk-based sampling, testing and release procedures. These measures are particularly valuable when a delayed raw-material consignment can interrupt production or miss an export deadline.</w:t>
      </w:r>
    </w:p>
    <w:p>
      <w:r>
        <w:t>The benefit should be described as an implementation opportunity, not as an immediate promise that every consignment will be cleared rapidly. An AEO facility depends on eligibility and operational rules; risk management still permits examination of higher-risk consignments. Electronic processes will save time only if the relevant agencies, banks and customs systems exchange usable information. Even with those conditions, the policy direction is significant: a compliant firm should face fewer repetitive manual steps, while authorities can concentrate scrutiny where risk is greater.</w:t>
      </w:r>
    </w:p>
    <w:p>
      <w:pPr>
        <w:pStyle w:val="Heading1"/>
      </w:pPr>
      <w:r>
        <w:t>More stable planning for industry and export production</w:t>
      </w:r>
    </w:p>
    <w:p>
      <w:r>
        <w:t>For industrial establishments, the new Order provides a five-year Industrial Import Registration Certificate, renewable for a further five years on the prescribed recommendation. A longer validity period can reduce repeated renewal work and improve certainty for factories planning equipment, raw-material contracts and capacity. Registration remains conditional, and the certificate ceases to operate where the establishment closes. The benefit is administrative stability, not freedom from ongoing compliance.</w:t>
      </w:r>
    </w:p>
    <w:p>
      <w:r>
        <w:t>The export-oriented provisions recognise the different ways buyers arrange production. Eligible industries may obtain inputs through back-to-back letters of credit or contracts under specified conditions. The Order also addresses free-of-cost supplies and, in defined cases, buyer-confirmed contracts without a master export letter of credit. This can help manufacturers respond to buyers who provide material or use purchasing arrangements other than the traditional documentary chain. Safeguards concerning bonds, export obligations, foreign-exchange repatriation and the applicable customs rules continue to matter.</w:t>
      </w:r>
    </w:p>
    <w:p>
      <w:r>
        <w:t>A further example is specialised knit fabric. The general restriction on importing knit fabric is retained, but the new Order permits specified specialised fabrics not produced locally—including man-made fibre, sportswear and functional or technical fabrics—for eligible export-oriented production with the required association recommendation and lien-bank certification. The benefit is targeted access to inputs needed for higher-value products without opening an unrestricted channel for ordinary fabric imports. Similarly, free-of-cost limits and other sector-specific facilities must be read against their precise conditions rather than described as universal concessions.</w:t>
      </w:r>
    </w:p>
    <w:p>
      <w:pPr>
        <w:pStyle w:val="Heading1"/>
      </w:pPr>
      <w:r>
        <w:t>Free trade zones and regional supply chains</w:t>
      </w:r>
    </w:p>
    <w:p>
      <w:r>
        <w:t>The 2026–2029 Order sets out a more developed free trade zone and central bonded warehouse concept for essential commodities, export development and investment. Subject to government declaration and the applicable customs and Bangladesh Bank controls, goods may enter a zone through authorised commercial methods. Export-oriented industrial consumers may obtain materials from it; goods may be released for domestic consumption after the relevant transaction and payment of duties and taxes; and third-country export may be permitted with customs no-objection.</w:t>
      </w:r>
    </w:p>
    <w:p>
      <w:r>
        <w:t>This is distinct from the conventional bonded manufacturing arrangement, whose primary purpose is to supply inputs for export production. A functioning free trade zone could combine storage, distribution, industrial supply and re-export in one platform. For businesses, that may shorten replenishment times and create opportunities for regional trading and logistics. The gain is prospective: it requires actual zone designation, operating rules, infrastructure and coordination among the zone authority, Customs and Bangladesh Bank. Domestic release is not duty-free merely because goods first entered a zone.</w:t>
      </w:r>
    </w:p>
    <w:p>
      <w:pPr>
        <w:pStyle w:val="Heading1"/>
      </w:pPr>
      <w:r>
        <w:t>Trade agreements, essential supplies and regulatory certainty</w:t>
      </w:r>
    </w:p>
    <w:p>
      <w:r>
        <w:t>The previous Order could be amended or relaxed, but the new one expressly allows the Government to relax specified import conditions under free trade agreements, comprehensive or economic partnership agreements, and unilateral or bilateral arrangements for export expansion, investment and trade facilitation. It also provides a route for relaxation relating to essential food and energy supplies and export diversification. This offers policymakers a clearer instrument for responding to trade agreements or supply shocks without leaving business to infer how a preferential arrangement will interact with import controls. Such relaxation is a government decision under the stated conditions; it is not a blanket exemption that an importer can claim independently.</w:t>
      </w:r>
    </w:p>
    <w:p>
      <w:r>
        <w:t>The new Order also gives greater visibility to health, safety and quality standards, including sectoral certificates and relevant international food standards. Importers may face demanding evidence requirements for sensitive goods, but a standards-based approach can make the compliance question more precise. Reliable standards protect consumers and reduce disputes for firms that invest in compliant sourcing. Businesses should therefore regard technical compliance as part of the commercial benefit of predictability, rather than treating every control as an unnecessary obstacle.</w:t>
      </w:r>
    </w:p>
    <w:p>
      <w:pPr>
        <w:pStyle w:val="Heading1"/>
      </w:pPr>
      <w:r>
        <w:t>Why an FTA provision benefits governments and partner countries</w:t>
      </w:r>
    </w:p>
    <w:p>
      <w:r>
        <w:t>The express FTA, CEPA, EPA and bilateral-arrangement clause does more than assist an individual importer. It gives Bangladesh a domestic policy route to put a negotiated trade arrangement into operation where an existing import condition would otherwise obstruct the agreed treatment. Bangladesh can seek improved access for its exports in return for calibrated access to its own market. A partner country can gain a clearer route for its originating goods, while its exporters and investors benefit from more predictable procedures. Both governments can use an agreement to coordinate customs cooperation, standards, investment and supply-chain development. None of these gains is automatic: the negotiated agreement, product schedules, origin rules and implementing instruments determine the actual concessions.</w:t>
      </w:r>
    </w:p>
    <w:p>
      <w:r>
        <w:t>For Bangladesh, reciprocal market access could support exports beyond garments, strengthen access to industrial inputs and technology, attract investment into production for regional markets, and diversify sources of essential supplies. A credible framework may also improve bargaining power because negotiators can identify the domestic legal steps needed to implement a bargain. The partner benefits from commercial access to Bangladesh and potentially from more reliable regional distribution. Higher bilateral trade can expand economic activity, but the net fiscal result is uncertain: tariff preferences may reduce revenue on covered imports, while increased formal trade and investment may partly offset that loss. Negotiators should therefore assess tariff revenue, sensitive industries, trade diversion and adjustment costs alongside export opportunities. The IPO is an enabling instrument, not itself an FTA or an automatic tariff concession.</w:t>
      </w:r>
    </w:p>
    <w:p>
      <w:pPr>
        <w:pStyle w:val="Heading1"/>
      </w:pPr>
      <w:r>
        <w:t>Export diversification and the Ministry of Commerce mandate</w:t>
      </w:r>
    </w:p>
    <w:p>
      <w:r>
        <w:t>The Rules of Business, 1996, through the allocation of business to the Ministry of Commerce, place export policy and promotion, trade agreements, and regulation and control of import trade within the Ministry’s responsibilities. Import policy should therefore be judged partly by how it supports export capability and the wider trading system, not solely by how much it restricts incoming goods. The 2026–2029 Order makes that connection explicit through its relaxation provision for export diversification and expansion, its FTA-related flexibility, and input arrangements for export-oriented industries.</w:t>
      </w:r>
    </w:p>
    <w:p>
      <w:r>
        <w:t>Diversification requires the ability to obtain materials, machinery, components and technical inputs that a new product line cannot readily source domestically. The tailored exception for specialised knit fabrics illustrates the point: access is possible where the input is not locally produced and the prescribed buyer, association and bank conditions are met. Contract-based and free-of-cost input arrangements can similarly accommodate different buyer models. Free trade zones could support warehousing and re-export as well as manufacturing. These measures cannot by themselves create a new export product or market. Their contribution is to remove some supply and procedural obstacles, while quality, skills, investment, product development and market access must develop in parallel.</w:t>
      </w:r>
    </w:p>
    <w:p>
      <w:pPr>
        <w:pStyle w:val="Heading1"/>
      </w:pPr>
      <w:r>
        <w:t>Protection of local industries with review and discipline</w:t>
      </w:r>
    </w:p>
    <w:p>
      <w:r>
        <w:t>Facilitation and domestic-industry protection are both legitimate policy concerns, but they must be reconciled. The new Order does not discard controls intended to support local production. It continues to identify controlled and prohibited goods and maintains sector-specific conditions. At the same time, it makes protective restrictions reviewable, including where the price of a domestically produced good rises disproportionately compared with its raw-material cost. The Bangladesh Trade and Tariff Commission route allows an affected business to put evidence before an institution able to recommend reconsideration.</w:t>
      </w:r>
    </w:p>
    <w:p>
      <w:r>
        <w:t>This approach can protect investment while reducing the danger of permanent shelter for inefficient supply or excessive prices. It also protects downstream manufacturers, who may be harmed if an unavailable or overpriced local input prevents them from filling export orders. Evidence on domestic capacity, quality, employment, consumer prices and downstream competitiveness should inform each decision. The Ministry’s objective is a competitive domestic production base, not protection detached from cost, availability and public interest. Any restriction must also be designed and administered consistently with Bangladesh’s international commitments.</w:t>
      </w:r>
    </w:p>
    <w:p>
      <w:pPr>
        <w:pStyle w:val="Heading1"/>
      </w:pPr>
      <w:r>
        <w:t>WTO compatibility: a separate legal and implementation test</w:t>
      </w:r>
    </w:p>
    <w:p>
      <w:r>
        <w:t>The IPO’s broad direction is compatible with several WTO disciplines, but no national order can declare every future action WTO-compliant in advance. GATT Article XI generally disciplines import prohibitions and quantitative restrictions. The clearer distinction between freely importable, controlled and prohibited goods, together with review of restrictions, can help limit unnecessary barriers. Yet a particular prohibition or licensing condition still requires a product-specific legal basis and examination under the applicable WTO rules. Domestic-industry protection is not, by itself, a general exception to Article XI. WTO-consistent tariff policy, trade remedies where their separate legal conditions are met, and properly justified exceptions are different instruments and should not be conflated.</w:t>
      </w:r>
    </w:p>
    <w:p>
      <w:r>
        <w:t>The FTA clause must be read with GATT Article XXIV for goods: a qualifying free-trade area is designed to liberalise substantially all trade among its members without raising barriers to non-members. Preferences therefore require an actual agreement and proper origin and implementation rules; the IPO’s broad power to relax conditions does not alone establish WTO validity. For services, any deeper integration has to be assessed separately under GATS Article V. The Order’s recognition of service importation may improve conceptual clarity, but it does not by itself create new GATS market-access commitments or justify every preferential service measure.</w:t>
      </w:r>
    </w:p>
    <w:p>
      <w:r>
        <w:t>The Trade Facilitation Agreement supplies a more direct connection. Pre-arrival information and electronic manifest correction, electronic payment, risk-based inspection and facilitation for trusted operators correspond to TFA Article 7’s approach to clearance. Publication and online permits also support transparency. Their WTO value depends on operational rules applied without arbitrary or unjustifiable discrimination, not simply on including the terms in the IPO.</w:t>
      </w:r>
    </w:p>
    <w:p>
      <w:r>
        <w:t>Finally, food-safety, animal and plant-health controls should be assessed under the SPS Agreement, including scientific basis, risk assessment where required, and non-discrimination; reference to Codex standards can help where relevant. Product standards and conformity assessments outside SPS fall under the TBT Agreement, which guards against unnecessary obstacles and discrimination while allowing legitimate objectives. Protecting health and consumers is compatible with WTO rules when the measures are properly justified and administered. The careful conclusion is that IPO 2026–2029 creates useful avenues for WTO-aligned trade facilitation, preferential agreements and standards-based control; conformity of each measure remains a continuing legal and administrative responsibility.</w:t>
      </w:r>
    </w:p>
    <w:p>
      <w:pPr>
        <w:pStyle w:val="Heading1"/>
      </w:pPr>
      <w:r>
        <w:t>What the comparison means for business</w:t>
      </w:r>
    </w:p>
    <w:p>
      <w:r>
        <w:t>The main advantages of IPO 2026–2029 can be grouped into four outcomes: clearer classification of import permissions; more flexible contractual, financing and logistics arrangements; lower potential administrative friction through digital and risk-based procedures; and better access to inputs, storage and distribution channels for eligible industrial and export activities. The advantages differ by firm. A commercial importer may value clearer rules and Incoterms; a factory may value certificate validity and faster clearance; an exporter may value specialised inputs and flexible buyer contracts; a logistics operator may look to future free trade zone activity.</w:t>
      </w:r>
    </w:p>
    <w:p>
      <w:r>
        <w:t>The qualifications are just as important. Many improvements require implementing rules, functioning digital systems, a government notification or an agency’s approval. Product-specific restrictions, duties and taxes, customs controls, food-safety requirements and foreign-exchange rules continue to apply. A business should check the operative Bangla gazette, relevant appendix and subsequent notices before committing to a shipment. The policy’s success should ultimately be measured by actual clearance time, administrative cost, access to appropriate inputs and consistent treatment across ports—not by the number of facilitation clauses alone.</w:t>
      </w:r>
    </w:p>
    <w:p>
      <w:pPr>
        <w:pStyle w:val="Heading1"/>
      </w:pPr>
      <w:r>
        <w:t>Conclusion</w:t>
      </w:r>
    </w:p>
    <w:p>
      <w:r>
        <w:t>IPO 2026–2029 continues the basic discipline of regulated importation established by IPO 2021–2024 while giving business a more explicit facilitation framework. It offers practical room for modern trade terms, digital processes, risk-based control, longer industrial registration, tailored export inputs and future free trade zone operations. The central change is a shift toward making lawful trade easier to plan and execute while retaining safeguards for consumers, the environment and domestic industry. If the agencies implement these provisions coherently, the new Order can improve competitiveness by reducing uncertainty and delay. If implementation lags, its promised benefits will remain largely on paper.</w:t>
      </w:r>
    </w:p>
    <w:p>
      <w:pPr>
        <w:pStyle w:val="Heading1"/>
      </w:pPr>
      <w:r>
        <w:t>Primary sources</w:t>
      </w:r>
    </w:p>
    <w:p>
      <w:r>
        <w:t>Ministry of Commerce (2022), Import Policy Order 2021–2024, gazette text: https://hub.bangladeshcustoms.gov.bd/storage/uploads/files/1710839853_Import%20Policy%20Order%20%28IPO%29%202021-24_Bangla.pdf</w:t>
      </w:r>
    </w:p>
    <w:p>
      <w:r>
        <w:t>Ministry of Commerce (2026), Import Policy Order 2026–2029, official policy publication: https://mincom.gov.bd/pages/policies/import-policy-order-2026-2029-kwnpvf-6a8d0ccc1c79f3cb24defb56. Subsequent notices and amendments: https://mincom.gov.bd/pages/notices</w:t>
      </w:r>
    </w:p>
    <w:p>
      <w:r>
        <w:t>Ministry of Commerce, Allocation of Business under the Rules of Business, 1996: https://mincom.gov.bd/pages/static-pages/6940329835ce18e1c055f0d9</w:t>
      </w:r>
    </w:p>
    <w:p>
      <w:r>
        <w:t>World Trade Organization, GATT Article XXIV: https://www.wto.org/english/tratop_e/region_e/region_art24_e.htm; Trade Facilitation Agreement: https://www.wto.org/english/docs_e/legal_e/tfa_e.htm; SPS Agreement: https://www.wto.org/english/docs_e/legal_e/sps_e.htm; TBT Agreement: https://www.wto.org/english/docs_e/legal_e/17-tbt_e.htm; GATS Article V: https://www.wto.org/english/docs_e/legal_e/26-gats_01_e.htm</w:t>
      </w:r>
    </w:p>
    <w:p>
      <w:r>
        <w:t>Provision references used in the comparison include paragraphs 3–8, 23 and 25 of IPO 2026–2029. Read the operative Bangla gazette and subsequent amendments alongside this comparison.</w:t>
      </w:r>
    </w:p>
    <w:sectPr w:rsidR="00FC693F" w:rsidRPr="0006063C" w:rsidSect="00034616">
      <w:pgSz w:w="12240" w:h="15840"/>
      <w:pgMar w:top="1152"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