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A6B72"/>
          <w:sz w:val="26"/>
        </w:rPr>
        <w:t>TRADEBIZ ECONOMY</w:t>
      </w:r>
    </w:p>
    <w:p>
      <w:pPr>
        <w:pStyle w:val="Title"/>
        <w:jc w:val="center"/>
      </w:pPr>
      <w:r>
        <w:rPr>
          <w:rFonts w:ascii="Times New Roman" w:hAnsi="Times New Roman" w:eastAsia="Times New Roman"/>
        </w:rPr>
        <w:t>From Global Conflict to Domestic Prices</w:t>
      </w:r>
    </w:p>
    <w:p>
      <w:pPr>
        <w:pStyle w:val="Subtitle"/>
        <w:jc w:val="center"/>
      </w:pPr>
      <w:r>
        <w:rPr>
          <w:rFonts w:ascii="Times New Roman" w:hAnsi="Times New Roman" w:eastAsia="Times New Roman"/>
        </w:rPr>
        <w:t>Trade, energy, shipping and exchange-rate cost transmission in Bangladesh</w:t>
      </w:r>
    </w:p>
    <w:p>
      <w:pPr>
        <w:jc w:val="center"/>
      </w:pPr>
      <w:r>
        <w:rPr>
          <w:rFonts w:ascii="Times New Roman" w:hAnsi="Times New Roman" w:eastAsia="Times New Roman"/>
          <w:sz w:val="26"/>
        </w:rPr>
        <w:br/>
        <w:t>Research article  |  21 September 2026</w:t>
      </w:r>
    </w:p>
    <w:p>
      <w:pPr>
        <w:jc w:val="center"/>
      </w:pPr>
      <w:r>
        <w:rPr>
          <w:rFonts w:ascii="Times New Roman" w:hAnsi="Times New Roman" w:eastAsia="Times New Roman"/>
          <w:sz w:val="26"/>
        </w:rPr>
        <w:t>Subrata Kumer Dey</w:t>
        <w:br/>
        <w:t>Founder, TradeBiz Economy</w:t>
      </w:r>
    </w:p>
    <w:p>
      <w:r>
        <w:rPr>
          <w:rFonts w:ascii="Times New Roman" w:hAnsi="Times New Roman" w:eastAsia="Times New Roman"/>
          <w:sz w:val="26"/>
        </w:rPr>
        <w:br/>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936"/>
      </w:tblGrid>
      <w:tr>
        <w:trPr>
          <w:cantSplit/>
        </w:trPr>
        <w:tc>
          <w:tcPr>
            <w:tcW w:type="dxa" w:w="9936"/>
            <w:shd w:fill="EAF0F2"/>
          </w:tcPr>
          <w:p>
            <w:r>
              <w:rPr>
                <w:rFonts w:ascii="Times New Roman" w:hAnsi="Times New Roman" w:eastAsia="Times New Roman"/>
                <w:color w:val="082F3D"/>
                <w:sz w:val="21"/>
              </w:rPr>
              <w:t>Independent-analysis notice</w:t>
              <w:br/>
              <w:t>TradeBiz Economy is an independent initiative. The analysis and opinions in this article are provided for educational and public-information purposes. They do not represent the official position of the Government of Bangladesh or any other organisation.</w:t>
            </w:r>
          </w:p>
        </w:tc>
      </w:tr>
    </w:tbl>
    <w:p>
      <w:r>
        <w:rPr>
          <w:rFonts w:ascii="Times New Roman" w:hAnsi="Times New Roman" w:eastAsia="Times New Roman"/>
          <w:sz w:val="26"/>
        </w:rPr>
        <w:br w:type="page"/>
      </w:r>
    </w:p>
    <w:p>
      <w:pPr>
        <w:pStyle w:val="Heading1"/>
      </w:pPr>
      <w:r>
        <w:rPr>
          <w:rFonts w:ascii="Times New Roman" w:hAnsi="Times New Roman" w:eastAsia="Times New Roman"/>
        </w:rPr>
        <w:t>Abstract</w:t>
      </w:r>
    </w:p>
    <w:p>
      <w:r>
        <w:rPr>
          <w:rFonts w:ascii="Times New Roman" w:hAnsi="Times New Roman" w:eastAsia="Times New Roman"/>
          <w:sz w:val="26"/>
        </w:rPr>
        <w:t>Bangladesh is exposed to global conflict through more than the invoice price of imported oil or grain. Conflict can disrupt production and shipping routes, raise freight and insurance premiums, lengthen voyages, intensify foreign-exchange demand and increase working-capital costs. These shocks then affect electricity, transport, fertiliser, food and industrial inputs before reaching consumer prices and export competitiveness. This article maps those channels using World Development Indicators, the World Bank Pink Sheet, the Federal Reserve Bank of New York’s Global Supply Chain Pressure Index and partner-reported UN Comtrade data. It also estimates an exploratory single-equation dynamic ordinary least squares inflation model for 2002–2024, with a lagged dependent variable and Newey–West heteroskedasticity- and autocorrelation-consistent standard errors.</w:t>
      </w:r>
    </w:p>
    <w:p>
      <w:r>
        <w:rPr>
          <w:rFonts w:ascii="Times New Roman" w:hAnsi="Times New Roman" w:eastAsia="Times New Roman"/>
          <w:sz w:val="26"/>
        </w:rPr>
        <w:t>The evidence shows a pronounced post-2021 stress episode. Bangladesh’s annual-average official exchange rate moved from Tk85.1 per US dollar in 2021 to Tk115.6 in 2024, while consumer-price inflation rose from 5.5% to 10.5%. Brent crude averaged almost US$100 per barrel in 2022. The regression associates a 10% annual increase in Brent prices with approximately 0.21 percentage points higher inflation, conditional on the included variables; this relationship is borderline statistically significant and should not be read as causal. Exchange-rate and supply-chain coefficients are imprecisely estimated in the small annual sample, although the descriptive evidence and transmission logic remain economically important. The policy priority is therefore resilience: transparent fuel-price adjustment, better-targeted support, deeper foreign-exchange markets, diversified sourcing, strategic inventories, trade finance and energy-efficiency measures that protect export firms without suppressing necessary price signals.</w:t>
      </w:r>
    </w:p>
    <w:p>
      <w:r>
        <w:rPr>
          <w:rFonts w:ascii="Times New Roman" w:hAnsi="Times New Roman" w:eastAsia="Times New Roman"/>
          <w:b/>
          <w:sz w:val="26"/>
        </w:rPr>
        <w:t xml:space="preserve">Keywords: </w:t>
      </w:r>
      <w:r>
        <w:rPr>
          <w:rFonts w:ascii="Times New Roman" w:hAnsi="Times New Roman" w:eastAsia="Times New Roman"/>
          <w:sz w:val="26"/>
        </w:rPr>
        <w:t>Bangladesh; imported inflation; global conflict; shipping; exchange rate; energy; trade; export competitiveness</w:t>
      </w:r>
    </w:p>
    <w:p>
      <w:pPr>
        <w:pStyle w:val="Heading1"/>
      </w:pPr>
      <w:r>
        <w:rPr>
          <w:rFonts w:ascii="Times New Roman" w:hAnsi="Times New Roman" w:eastAsia="Times New Roman"/>
          <w:b w:val="0"/>
          <w:i w:val="0"/>
        </w:rPr>
        <w:t>List of abbreviations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cantSplit/>
        </w:trPr>
        <w:tc>
          <w:tcPr>
            <w:tcW w:type="dxa" w:w="2088"/>
            <w:shd w:fill="17365D"/>
            <w:vAlign w:val="center"/>
          </w:tcPr>
          <w:p>
            <w:r>
              <w:rPr>
                <w:rFonts w:ascii="Times New Roman" w:hAnsi="Times New Roman" w:eastAsia="Times New Roman"/>
                <w:b/>
                <w:color w:val="FFFFFF"/>
                <w:sz w:val="21"/>
              </w:rPr>
              <w:t>Abbreviation</w:t>
            </w:r>
          </w:p>
        </w:tc>
        <w:tc>
          <w:tcPr>
            <w:tcW w:type="dxa" w:w="7200"/>
            <w:shd w:fill="17365D"/>
            <w:vAlign w:val="center"/>
          </w:tcPr>
          <w:p>
            <w:r>
              <w:rPr>
                <w:rFonts w:ascii="Times New Roman" w:hAnsi="Times New Roman" w:eastAsia="Times New Roman"/>
                <w:b/>
                <w:color w:val="FFFFFF"/>
                <w:sz w:val="21"/>
              </w:rPr>
              <w:t>Meaning</w:t>
            </w:r>
          </w:p>
        </w:tc>
      </w:tr>
      <w:tr>
        <w:trPr>
          <w:cantSplit/>
          <w:cantSplit/>
        </w:trPr>
        <w:tc>
          <w:tcPr>
            <w:tcW w:type="dxa" w:w="2088"/>
            <w:vAlign w:val="center"/>
          </w:tcPr>
          <w:p>
            <w:pPr>
              <w:spacing w:after="40"/>
            </w:pPr>
            <w:r>
              <w:rPr>
                <w:rFonts w:ascii="Times New Roman" w:hAnsi="Times New Roman" w:eastAsia="Times New Roman"/>
                <w:sz w:val="21"/>
              </w:rPr>
              <w:t>ADB</w:t>
            </w:r>
          </w:p>
        </w:tc>
        <w:tc>
          <w:tcPr>
            <w:tcW w:type="dxa" w:w="7200"/>
            <w:vAlign w:val="center"/>
          </w:tcPr>
          <w:p>
            <w:pPr>
              <w:spacing w:after="40"/>
            </w:pPr>
            <w:r>
              <w:rPr>
                <w:rFonts w:ascii="Times New Roman" w:hAnsi="Times New Roman" w:eastAsia="Times New Roman"/>
                <w:sz w:val="21"/>
              </w:rPr>
              <w:t>Asian Development Bank</w:t>
            </w:r>
          </w:p>
        </w:tc>
      </w:tr>
      <w:tr>
        <w:trPr>
          <w:cantSplit/>
          <w:cantSplit/>
        </w:trPr>
        <w:tc>
          <w:tcPr>
            <w:tcW w:type="dxa" w:w="2088"/>
            <w:vAlign w:val="center"/>
            <w:shd w:fill="F2F5F7"/>
          </w:tcPr>
          <w:p>
            <w:pPr>
              <w:spacing w:after="40"/>
            </w:pPr>
            <w:r>
              <w:rPr>
                <w:rFonts w:ascii="Times New Roman" w:hAnsi="Times New Roman" w:eastAsia="Times New Roman"/>
                <w:sz w:val="21"/>
              </w:rPr>
              <w:t>ADL</w:t>
            </w:r>
          </w:p>
        </w:tc>
        <w:tc>
          <w:tcPr>
            <w:tcW w:type="dxa" w:w="7200"/>
            <w:vAlign w:val="center"/>
            <w:shd w:fill="F2F5F7"/>
          </w:tcPr>
          <w:p>
            <w:pPr>
              <w:spacing w:after="40"/>
            </w:pPr>
            <w:r>
              <w:rPr>
                <w:rFonts w:ascii="Times New Roman" w:hAnsi="Times New Roman" w:eastAsia="Times New Roman"/>
                <w:sz w:val="21"/>
              </w:rPr>
              <w:t>Autoregressive distributed lag model</w:t>
            </w:r>
          </w:p>
        </w:tc>
      </w:tr>
      <w:tr>
        <w:trPr>
          <w:cantSplit/>
          <w:cantSplit/>
        </w:trPr>
        <w:tc>
          <w:tcPr>
            <w:tcW w:type="dxa" w:w="2088"/>
            <w:vAlign w:val="center"/>
          </w:tcPr>
          <w:p>
            <w:pPr>
              <w:spacing w:after="40"/>
            </w:pPr>
            <w:r>
              <w:rPr>
                <w:rFonts w:ascii="Times New Roman" w:hAnsi="Times New Roman" w:eastAsia="Times New Roman"/>
                <w:sz w:val="21"/>
              </w:rPr>
              <w:t>BDI</w:t>
            </w:r>
          </w:p>
        </w:tc>
        <w:tc>
          <w:tcPr>
            <w:tcW w:type="dxa" w:w="7200"/>
            <w:vAlign w:val="center"/>
          </w:tcPr>
          <w:p>
            <w:pPr>
              <w:spacing w:after="40"/>
            </w:pPr>
            <w:r>
              <w:rPr>
                <w:rFonts w:ascii="Times New Roman" w:hAnsi="Times New Roman" w:eastAsia="Times New Roman"/>
                <w:sz w:val="21"/>
              </w:rPr>
              <w:t>Baltic Dry Index</w:t>
            </w:r>
          </w:p>
        </w:tc>
      </w:tr>
      <w:tr>
        <w:trPr>
          <w:cantSplit/>
          <w:cantSplit/>
        </w:trPr>
        <w:tc>
          <w:tcPr>
            <w:tcW w:type="dxa" w:w="2088"/>
            <w:vAlign w:val="center"/>
            <w:shd w:fill="F2F5F7"/>
          </w:tcPr>
          <w:p>
            <w:pPr>
              <w:spacing w:after="40"/>
            </w:pPr>
            <w:r>
              <w:rPr>
                <w:rFonts w:ascii="Times New Roman" w:hAnsi="Times New Roman" w:eastAsia="Times New Roman"/>
                <w:sz w:val="21"/>
              </w:rPr>
              <w:t>CPI</w:t>
            </w:r>
          </w:p>
        </w:tc>
        <w:tc>
          <w:tcPr>
            <w:tcW w:type="dxa" w:w="7200"/>
            <w:vAlign w:val="center"/>
            <w:shd w:fill="F2F5F7"/>
          </w:tcPr>
          <w:p>
            <w:pPr>
              <w:spacing w:after="40"/>
            </w:pPr>
            <w:r>
              <w:rPr>
                <w:rFonts w:ascii="Times New Roman" w:hAnsi="Times New Roman" w:eastAsia="Times New Roman"/>
                <w:sz w:val="21"/>
              </w:rPr>
              <w:t>Consumer Price Index</w:t>
            </w:r>
          </w:p>
        </w:tc>
      </w:tr>
      <w:tr>
        <w:trPr>
          <w:cantSplit/>
          <w:cantSplit/>
        </w:trPr>
        <w:tc>
          <w:tcPr>
            <w:tcW w:type="dxa" w:w="2088"/>
            <w:vAlign w:val="center"/>
          </w:tcPr>
          <w:p>
            <w:pPr>
              <w:spacing w:after="40"/>
            </w:pPr>
            <w:r>
              <w:rPr>
                <w:rFonts w:ascii="Times New Roman" w:hAnsi="Times New Roman" w:eastAsia="Times New Roman"/>
                <w:sz w:val="21"/>
              </w:rPr>
              <w:t>FOB</w:t>
            </w:r>
          </w:p>
        </w:tc>
        <w:tc>
          <w:tcPr>
            <w:tcW w:type="dxa" w:w="7200"/>
            <w:vAlign w:val="center"/>
          </w:tcPr>
          <w:p>
            <w:pPr>
              <w:spacing w:after="40"/>
            </w:pPr>
            <w:r>
              <w:rPr>
                <w:rFonts w:ascii="Times New Roman" w:hAnsi="Times New Roman" w:eastAsia="Times New Roman"/>
                <w:sz w:val="21"/>
              </w:rPr>
              <w:t>Free on board</w:t>
            </w:r>
          </w:p>
        </w:tc>
      </w:tr>
      <w:tr>
        <w:trPr>
          <w:cantSplit/>
          <w:cantSplit/>
        </w:trPr>
        <w:tc>
          <w:tcPr>
            <w:tcW w:type="dxa" w:w="2088"/>
            <w:vAlign w:val="center"/>
            <w:shd w:fill="F2F5F7"/>
          </w:tcPr>
          <w:p>
            <w:pPr>
              <w:spacing w:after="40"/>
            </w:pPr>
            <w:r>
              <w:rPr>
                <w:rFonts w:ascii="Times New Roman" w:hAnsi="Times New Roman" w:eastAsia="Times New Roman"/>
                <w:sz w:val="21"/>
              </w:rPr>
              <w:t>GSCPI</w:t>
            </w:r>
          </w:p>
        </w:tc>
        <w:tc>
          <w:tcPr>
            <w:tcW w:type="dxa" w:w="7200"/>
            <w:vAlign w:val="center"/>
            <w:shd w:fill="F2F5F7"/>
          </w:tcPr>
          <w:p>
            <w:pPr>
              <w:spacing w:after="40"/>
            </w:pPr>
            <w:r>
              <w:rPr>
                <w:rFonts w:ascii="Times New Roman" w:hAnsi="Times New Roman" w:eastAsia="Times New Roman"/>
                <w:sz w:val="21"/>
              </w:rPr>
              <w:t>Global Supply Chain Pressure Index</w:t>
            </w:r>
          </w:p>
        </w:tc>
      </w:tr>
      <w:tr>
        <w:trPr>
          <w:cantSplit/>
          <w:cantSplit/>
        </w:trPr>
        <w:tc>
          <w:tcPr>
            <w:tcW w:type="dxa" w:w="2088"/>
            <w:vAlign w:val="center"/>
          </w:tcPr>
          <w:p>
            <w:pPr>
              <w:spacing w:after="40"/>
            </w:pPr>
            <w:r>
              <w:rPr>
                <w:rFonts w:ascii="Times New Roman" w:hAnsi="Times New Roman" w:eastAsia="Times New Roman"/>
                <w:sz w:val="21"/>
              </w:rPr>
              <w:t>HAC</w:t>
            </w:r>
          </w:p>
        </w:tc>
        <w:tc>
          <w:tcPr>
            <w:tcW w:type="dxa" w:w="7200"/>
            <w:vAlign w:val="center"/>
          </w:tcPr>
          <w:p>
            <w:pPr>
              <w:spacing w:after="40"/>
            </w:pPr>
            <w:r>
              <w:rPr>
                <w:rFonts w:ascii="Times New Roman" w:hAnsi="Times New Roman" w:eastAsia="Times New Roman"/>
                <w:sz w:val="21"/>
              </w:rPr>
              <w:t>Heteroskedasticity- and autocorrelation-consistent</w:t>
            </w:r>
          </w:p>
        </w:tc>
      </w:tr>
      <w:tr>
        <w:trPr>
          <w:cantSplit/>
          <w:cantSplit/>
        </w:trPr>
        <w:tc>
          <w:tcPr>
            <w:tcW w:type="dxa" w:w="2088"/>
            <w:vAlign w:val="center"/>
            <w:shd w:fill="F2F5F7"/>
          </w:tcPr>
          <w:p>
            <w:pPr>
              <w:spacing w:after="40"/>
            </w:pPr>
            <w:r>
              <w:rPr>
                <w:rFonts w:ascii="Times New Roman" w:hAnsi="Times New Roman" w:eastAsia="Times New Roman"/>
                <w:sz w:val="21"/>
              </w:rPr>
              <w:t>HS</w:t>
            </w:r>
          </w:p>
        </w:tc>
        <w:tc>
          <w:tcPr>
            <w:tcW w:type="dxa" w:w="7200"/>
            <w:vAlign w:val="center"/>
            <w:shd w:fill="F2F5F7"/>
          </w:tcPr>
          <w:p>
            <w:pPr>
              <w:spacing w:after="40"/>
            </w:pPr>
            <w:r>
              <w:rPr>
                <w:rFonts w:ascii="Times New Roman" w:hAnsi="Times New Roman" w:eastAsia="Times New Roman"/>
                <w:sz w:val="21"/>
              </w:rPr>
              <w:t>Harmonized System</w:t>
            </w:r>
          </w:p>
        </w:tc>
      </w:tr>
      <w:tr>
        <w:trPr>
          <w:cantSplit/>
          <w:cantSplit/>
        </w:trPr>
        <w:tc>
          <w:tcPr>
            <w:tcW w:type="dxa" w:w="2088"/>
            <w:vAlign w:val="center"/>
          </w:tcPr>
          <w:p>
            <w:pPr>
              <w:spacing w:after="40"/>
            </w:pPr>
            <w:r>
              <w:rPr>
                <w:rFonts w:ascii="Times New Roman" w:hAnsi="Times New Roman" w:eastAsia="Times New Roman"/>
                <w:sz w:val="21"/>
              </w:rPr>
              <w:t>IMF</w:t>
            </w:r>
          </w:p>
        </w:tc>
        <w:tc>
          <w:tcPr>
            <w:tcW w:type="dxa" w:w="7200"/>
            <w:vAlign w:val="center"/>
          </w:tcPr>
          <w:p>
            <w:pPr>
              <w:spacing w:after="40"/>
            </w:pPr>
            <w:r>
              <w:rPr>
                <w:rFonts w:ascii="Times New Roman" w:hAnsi="Times New Roman" w:eastAsia="Times New Roman"/>
                <w:sz w:val="21"/>
              </w:rPr>
              <w:t>International Monetary Fund</w:t>
            </w:r>
          </w:p>
        </w:tc>
      </w:tr>
      <w:tr>
        <w:trPr>
          <w:cantSplit/>
          <w:cantSplit/>
        </w:trPr>
        <w:tc>
          <w:tcPr>
            <w:tcW w:type="dxa" w:w="2088"/>
            <w:vAlign w:val="center"/>
            <w:shd w:fill="F2F5F7"/>
          </w:tcPr>
          <w:p>
            <w:pPr>
              <w:spacing w:after="40"/>
            </w:pPr>
            <w:r>
              <w:rPr>
                <w:rFonts w:ascii="Times New Roman" w:hAnsi="Times New Roman" w:eastAsia="Times New Roman"/>
                <w:sz w:val="21"/>
              </w:rPr>
              <w:t>LNG</w:t>
            </w:r>
          </w:p>
        </w:tc>
        <w:tc>
          <w:tcPr>
            <w:tcW w:type="dxa" w:w="7200"/>
            <w:vAlign w:val="center"/>
            <w:shd w:fill="F2F5F7"/>
          </w:tcPr>
          <w:p>
            <w:pPr>
              <w:spacing w:after="40"/>
            </w:pPr>
            <w:r>
              <w:rPr>
                <w:rFonts w:ascii="Times New Roman" w:hAnsi="Times New Roman" w:eastAsia="Times New Roman"/>
                <w:sz w:val="21"/>
              </w:rPr>
              <w:t>Liquefied natural gas</w:t>
            </w:r>
          </w:p>
        </w:tc>
      </w:tr>
      <w:tr>
        <w:trPr>
          <w:cantSplit/>
          <w:cantSplit/>
        </w:trPr>
        <w:tc>
          <w:tcPr>
            <w:tcW w:type="dxa" w:w="2088"/>
            <w:vAlign w:val="center"/>
          </w:tcPr>
          <w:p>
            <w:pPr>
              <w:spacing w:after="40"/>
            </w:pPr>
            <w:r>
              <w:rPr>
                <w:rFonts w:ascii="Times New Roman" w:hAnsi="Times New Roman" w:eastAsia="Times New Roman"/>
                <w:sz w:val="21"/>
              </w:rPr>
              <w:t>OLS</w:t>
            </w:r>
          </w:p>
        </w:tc>
        <w:tc>
          <w:tcPr>
            <w:tcW w:type="dxa" w:w="7200"/>
            <w:vAlign w:val="center"/>
          </w:tcPr>
          <w:p>
            <w:pPr>
              <w:spacing w:after="40"/>
            </w:pPr>
            <w:r>
              <w:rPr>
                <w:rFonts w:ascii="Times New Roman" w:hAnsi="Times New Roman" w:eastAsia="Times New Roman"/>
                <w:sz w:val="21"/>
              </w:rPr>
              <w:t>Ordinary least squares</w:t>
            </w:r>
          </w:p>
        </w:tc>
      </w:tr>
      <w:tr>
        <w:trPr>
          <w:cantSplit/>
          <w:cantSplit/>
        </w:trPr>
        <w:tc>
          <w:tcPr>
            <w:tcW w:type="dxa" w:w="2088"/>
            <w:vAlign w:val="center"/>
            <w:shd w:fill="F2F5F7"/>
          </w:tcPr>
          <w:p>
            <w:pPr>
              <w:spacing w:after="40"/>
            </w:pPr>
            <w:r>
              <w:rPr>
                <w:rFonts w:ascii="Times New Roman" w:hAnsi="Times New Roman" w:eastAsia="Times New Roman"/>
                <w:sz w:val="21"/>
              </w:rPr>
              <w:t>UNCTAD</w:t>
            </w:r>
          </w:p>
        </w:tc>
        <w:tc>
          <w:tcPr>
            <w:tcW w:type="dxa" w:w="7200"/>
            <w:vAlign w:val="center"/>
            <w:shd w:fill="F2F5F7"/>
          </w:tcPr>
          <w:p>
            <w:pPr>
              <w:spacing w:after="40"/>
            </w:pPr>
            <w:r>
              <w:rPr>
                <w:rFonts w:ascii="Times New Roman" w:hAnsi="Times New Roman" w:eastAsia="Times New Roman"/>
                <w:sz w:val="21"/>
              </w:rPr>
              <w:t>UN Trade and Development</w:t>
            </w:r>
          </w:p>
        </w:tc>
      </w:tr>
      <w:tr>
        <w:trPr>
          <w:cantSplit/>
          <w:cantSplit/>
        </w:trPr>
        <w:tc>
          <w:tcPr>
            <w:tcW w:type="dxa" w:w="2088"/>
            <w:vAlign w:val="center"/>
          </w:tcPr>
          <w:p>
            <w:pPr>
              <w:spacing w:after="40"/>
            </w:pPr>
            <w:r>
              <w:rPr>
                <w:rFonts w:ascii="Times New Roman" w:hAnsi="Times New Roman" w:eastAsia="Times New Roman"/>
                <w:sz w:val="21"/>
              </w:rPr>
              <w:t>USD</w:t>
            </w:r>
          </w:p>
        </w:tc>
        <w:tc>
          <w:tcPr>
            <w:tcW w:type="dxa" w:w="7200"/>
            <w:vAlign w:val="center"/>
          </w:tcPr>
          <w:p>
            <w:pPr>
              <w:spacing w:after="40"/>
            </w:pPr>
            <w:r>
              <w:rPr>
                <w:rFonts w:ascii="Times New Roman" w:hAnsi="Times New Roman" w:eastAsia="Times New Roman"/>
                <w:sz w:val="21"/>
              </w:rPr>
              <w:t>United States dollar</w:t>
            </w:r>
          </w:p>
        </w:tc>
      </w:tr>
      <w:tr>
        <w:trPr>
          <w:cantSplit/>
          <w:cantSplit/>
        </w:trPr>
        <w:tc>
          <w:tcPr>
            <w:tcW w:type="dxa" w:w="2088"/>
            <w:vAlign w:val="center"/>
            <w:shd w:fill="F2F5F7"/>
          </w:tcPr>
          <w:p>
            <w:pPr>
              <w:spacing w:after="40"/>
            </w:pPr>
            <w:r>
              <w:rPr>
                <w:rFonts w:ascii="Times New Roman" w:hAnsi="Times New Roman" w:eastAsia="Times New Roman"/>
                <w:sz w:val="21"/>
              </w:rPr>
              <w:t>VAR</w:t>
            </w:r>
          </w:p>
        </w:tc>
        <w:tc>
          <w:tcPr>
            <w:tcW w:type="dxa" w:w="7200"/>
            <w:vAlign w:val="center"/>
            <w:shd w:fill="F2F5F7"/>
          </w:tcPr>
          <w:p>
            <w:pPr>
              <w:spacing w:after="40"/>
            </w:pPr>
            <w:r>
              <w:rPr>
                <w:rFonts w:ascii="Times New Roman" w:hAnsi="Times New Roman" w:eastAsia="Times New Roman"/>
                <w:sz w:val="21"/>
              </w:rPr>
              <w:t>Vector autoregression</w:t>
            </w:r>
          </w:p>
        </w:tc>
      </w:tr>
      <w:tr>
        <w:trPr>
          <w:cantSplit/>
          <w:cantSplit/>
        </w:trPr>
        <w:tc>
          <w:tcPr>
            <w:tcW w:type="dxa" w:w="2088"/>
            <w:vAlign w:val="center"/>
          </w:tcPr>
          <w:p>
            <w:pPr>
              <w:spacing w:after="40"/>
            </w:pPr>
            <w:r>
              <w:rPr>
                <w:rFonts w:ascii="Times New Roman" w:hAnsi="Times New Roman" w:eastAsia="Times New Roman"/>
                <w:sz w:val="21"/>
              </w:rPr>
              <w:t>VECM</w:t>
            </w:r>
          </w:p>
        </w:tc>
        <w:tc>
          <w:tcPr>
            <w:tcW w:type="dxa" w:w="7200"/>
            <w:vAlign w:val="center"/>
          </w:tcPr>
          <w:p>
            <w:pPr>
              <w:spacing w:after="40"/>
            </w:pPr>
            <w:r>
              <w:rPr>
                <w:rFonts w:ascii="Times New Roman" w:hAnsi="Times New Roman" w:eastAsia="Times New Roman"/>
                <w:sz w:val="21"/>
              </w:rPr>
              <w:t>Vector error-correction model</w:t>
            </w:r>
          </w:p>
        </w:tc>
      </w:tr>
      <w:tr>
        <w:trPr>
          <w:cantSplit/>
          <w:cantSplit/>
        </w:trPr>
        <w:tc>
          <w:tcPr>
            <w:tcW w:type="dxa" w:w="2088"/>
            <w:vAlign w:val="center"/>
            <w:shd w:fill="F2F5F7"/>
          </w:tcPr>
          <w:p>
            <w:pPr>
              <w:spacing w:after="40"/>
            </w:pPr>
            <w:r>
              <w:rPr>
                <w:rFonts w:ascii="Times New Roman" w:hAnsi="Times New Roman" w:eastAsia="Times New Roman"/>
                <w:sz w:val="21"/>
              </w:rPr>
              <w:t>WDI</w:t>
            </w:r>
          </w:p>
        </w:tc>
        <w:tc>
          <w:tcPr>
            <w:tcW w:type="dxa" w:w="7200"/>
            <w:vAlign w:val="center"/>
            <w:shd w:fill="F2F5F7"/>
          </w:tcPr>
          <w:p>
            <w:pPr>
              <w:spacing w:after="40"/>
            </w:pPr>
            <w:r>
              <w:rPr>
                <w:rFonts w:ascii="Times New Roman" w:hAnsi="Times New Roman" w:eastAsia="Times New Roman"/>
                <w:sz w:val="21"/>
              </w:rPr>
              <w:t>World Development Indicators</w:t>
            </w:r>
          </w:p>
        </w:tc>
      </w:tr>
    </w:tbl>
    <w:p/>
    <w:p>
      <w:pPr>
        <w:pStyle w:val="Heading1"/>
      </w:pPr>
      <w:r>
        <w:rPr>
          <w:rFonts w:ascii="Times New Roman" w:hAnsi="Times New Roman" w:eastAsia="Times New Roman"/>
        </w:rPr>
        <w:t>1. Introduction</w:t>
      </w:r>
    </w:p>
    <w:p>
      <w:r>
        <w:rPr>
          <w:rFonts w:ascii="Times New Roman" w:hAnsi="Times New Roman" w:eastAsia="Times New Roman"/>
          <w:sz w:val="26"/>
        </w:rPr>
        <w:t>Global conflict reaches an import-dependent economy through a network of markets rather than a single border. The Russia–Ukraine war affected Black Sea grain, fertiliser and energy markets. Attacks and insecurity around the Red Sea caused vessels to avoid the Suez route, while tension in and around the Gulf increased the risk premium attached to oil, liquefied natural gas (LNG) and maritime insurance. These shocks interact with climate-related disruptions and domestic financial conditions. For Bangladesh, the result can be a simultaneous rise in the dollar price of imports, the taka cost of each dollar, the freight charge per shipment and the financing cost of holding inventories.</w:t>
      </w:r>
    </w:p>
    <w:p>
      <w:r>
        <w:rPr>
          <w:rFonts w:ascii="Times New Roman" w:hAnsi="Times New Roman" w:eastAsia="Times New Roman"/>
          <w:sz w:val="26"/>
        </w:rPr>
        <w:t>This question has immediate relevance. Reuters reported on 21 September 2026 that Bangladesh raised administered fuel prices by up to 17.4% after a global oil and shipping-cost surge; diesel rose from Tk115 to Tk135 per litre. Reuters also reported earlier in September that elevated LNG prices and supply disruption were affecting electricity availability and industrial operations (Reuters, 2026a; Reuters, 2026b). These are current developments, not observations in the historical econometric sample. They are used as context and as a stress test of the transmission framework, not as proof of an estimated 2026 effect.</w:t>
      </w:r>
    </w:p>
    <w:p>
      <w:r>
        <w:rPr>
          <w:rFonts w:ascii="Times New Roman" w:hAnsi="Times New Roman" w:eastAsia="Times New Roman"/>
          <w:sz w:val="26"/>
        </w:rPr>
        <w:t>The study asks four questions: (i) which major product groups link Bangladesh to conflict-exposed origins and routes; (ii) how did commodity prices, the exchange rate, supply-chain pressure and trade values change in recent years; (iii) what does a parsimonious historical model suggest about inflation transmission; and (iv) which practical measures can reduce exposure while preserving market incentives? The contribution is to place product exposure, macroeconomic trends and transmission mechanisms in one Bangladesh-focused framework.</w:t>
      </w:r>
    </w:p>
    <w:p>
      <w:pPr>
        <w:pStyle w:val="Heading1"/>
      </w:pPr>
      <w:r>
        <w:rPr>
          <w:rFonts w:ascii="Times New Roman" w:hAnsi="Times New Roman" w:eastAsia="Times New Roman"/>
        </w:rPr>
        <w:t>2. Bangladesh’s trade exposure to conflict-affected regions</w:t>
      </w:r>
    </w:p>
    <w:p>
      <w:pPr>
        <w:pStyle w:val="Heading2"/>
      </w:pPr>
      <w:r>
        <w:rPr>
          <w:rFonts w:ascii="Times New Roman" w:hAnsi="Times New Roman" w:eastAsia="Times New Roman"/>
        </w:rPr>
        <w:t>2.1 What Bangladesh imports</w:t>
      </w:r>
    </w:p>
    <w:p>
      <w:r>
        <w:rPr>
          <w:rFonts w:ascii="Times New Roman" w:hAnsi="Times New Roman" w:eastAsia="Times New Roman"/>
          <w:sz w:val="26"/>
        </w:rPr>
        <w:t>Bangladesh’s strategic exposure is concentrated in products with broad downstream effects. Mineral fuels and LNG influence power, transport, irrigation and industrial heat. Wheat and other cereals affect food prices and milling. Fertilisers affect farm costs and subsequent food supply. Iron and steel, plastics and organic chemicals enter construction and manufacturing. Cotton and textile inputs matter for the export-oriented garment value chain. Even when a product is not purchased directly from a battlefield country, its reference price may be determined in a globally integrated market affected by that conflict.</w:t>
      </w:r>
    </w:p>
    <w:p>
      <w:r>
        <w:rPr>
          <w:rFonts w:ascii="Times New Roman" w:hAnsi="Times New Roman" w:eastAsia="Times New Roman"/>
          <w:sz w:val="26"/>
        </w:rPr>
        <w:t>The origin map must therefore be interpreted in two ways. Direct exposure is the value shipped from a selected partner to Bangladesh. Indirect exposure arises when conflict changes the world benchmark price, shipping route or insurance premium applied to suppliers elsewhere. The Gulf economies are particularly important for energy and petrochemicals; Russia and Ukraine are relevant to fuels, cereals, fertilisers and metals; and the Red Sea/Suez corridor matters to trade with Europe and the Mediterranean.</w:t>
      </w:r>
    </w:p>
    <w:p>
      <w:r>
        <w:rPr>
          <w:rFonts w:ascii="Times New Roman" w:hAnsi="Times New Roman" w:eastAsia="Times New Roman"/>
          <w:sz w:val="26"/>
        </w:rPr>
        <w:t>Table 1. Leading product groups in selected partner-reported exports to Bangladesh, cumulative 2020–2024</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tblHeader w:val="true"/>
          <w:cantSplit/>
        </w:trPr>
        <w:tc>
          <w:tcPr>
            <w:tcW w:type="dxa" w:w="3312"/>
            <w:shd w:fill="082F3D"/>
            <w:vAlign w:val="center"/>
          </w:tcPr>
          <w:p>
            <w:r>
              <w:rPr>
                <w:rFonts w:ascii="Times New Roman" w:hAnsi="Times New Roman" w:eastAsia="Times New Roman"/>
                <w:b/>
                <w:color w:val="FFFFFF"/>
                <w:sz w:val="21"/>
              </w:rPr>
              <w:t>HS chapter</w:t>
            </w:r>
          </w:p>
        </w:tc>
        <w:tc>
          <w:tcPr>
            <w:tcW w:type="dxa" w:w="3312"/>
            <w:shd w:fill="082F3D"/>
            <w:vAlign w:val="center"/>
          </w:tcPr>
          <w:p>
            <w:r>
              <w:rPr>
                <w:rFonts w:ascii="Times New Roman" w:hAnsi="Times New Roman" w:eastAsia="Times New Roman"/>
                <w:b/>
                <w:color w:val="FFFFFF"/>
                <w:sz w:val="21"/>
              </w:rPr>
              <w:t>Product group</w:t>
            </w:r>
          </w:p>
        </w:tc>
        <w:tc>
          <w:tcPr>
            <w:tcW w:type="dxa" w:w="3312"/>
            <w:shd w:fill="082F3D"/>
            <w:vAlign w:val="center"/>
          </w:tcPr>
          <w:p>
            <w:r>
              <w:rPr>
                <w:rFonts w:ascii="Times New Roman" w:hAnsi="Times New Roman" w:eastAsia="Times New Roman"/>
                <w:b/>
                <w:color w:val="FFFFFF"/>
                <w:sz w:val="21"/>
              </w:rPr>
              <w:t>US$ bn</w:t>
            </w:r>
          </w:p>
        </w:tc>
      </w:tr>
      <w:tr>
        <w:trPr>
          <w:cantSplit/>
          <w:cantSplit/>
        </w:trPr>
        <w:tc>
          <w:tcPr>
            <w:tcW w:type="dxa" w:w="3312"/>
          </w:tcPr>
          <w:p>
            <w:r>
              <w:rPr>
                <w:rFonts w:ascii="Times New Roman" w:hAnsi="Times New Roman" w:eastAsia="Times New Roman"/>
                <w:sz w:val="21"/>
              </w:rPr>
              <w:t>27</w:t>
            </w:r>
          </w:p>
        </w:tc>
        <w:tc>
          <w:tcPr>
            <w:tcW w:type="dxa" w:w="3312"/>
          </w:tcPr>
          <w:p>
            <w:r>
              <w:rPr>
                <w:rFonts w:ascii="Times New Roman" w:hAnsi="Times New Roman" w:eastAsia="Times New Roman"/>
                <w:sz w:val="21"/>
              </w:rPr>
              <w:t>Mineral fuels, mineral oils and products of their distilla</w:t>
            </w:r>
          </w:p>
        </w:tc>
        <w:tc>
          <w:tcPr>
            <w:tcW w:type="dxa" w:w="3312"/>
          </w:tcPr>
          <w:p>
            <w:r>
              <w:rPr>
                <w:rFonts w:ascii="Times New Roman" w:hAnsi="Times New Roman" w:eastAsia="Times New Roman"/>
                <w:sz w:val="21"/>
              </w:rPr>
              <w:t>8.51</w:t>
            </w:r>
          </w:p>
        </w:tc>
      </w:tr>
      <w:tr>
        <w:trPr>
          <w:cantSplit/>
          <w:cantSplit/>
        </w:trPr>
        <w:tc>
          <w:tcPr>
            <w:tcW w:type="dxa" w:w="3312"/>
            <w:shd w:fill="F4F7F8"/>
          </w:tcPr>
          <w:p>
            <w:r>
              <w:rPr>
                <w:rFonts w:ascii="Times New Roman" w:hAnsi="Times New Roman" w:eastAsia="Times New Roman"/>
                <w:sz w:val="21"/>
              </w:rPr>
              <w:t>31</w:t>
            </w:r>
          </w:p>
        </w:tc>
        <w:tc>
          <w:tcPr>
            <w:tcW w:type="dxa" w:w="3312"/>
            <w:shd w:fill="F4F7F8"/>
          </w:tcPr>
          <w:p>
            <w:r>
              <w:rPr>
                <w:rFonts w:ascii="Times New Roman" w:hAnsi="Times New Roman" w:eastAsia="Times New Roman"/>
                <w:sz w:val="21"/>
              </w:rPr>
              <w:t>Fertilizers</w:t>
            </w:r>
          </w:p>
        </w:tc>
        <w:tc>
          <w:tcPr>
            <w:tcW w:type="dxa" w:w="3312"/>
            <w:shd w:fill="F4F7F8"/>
          </w:tcPr>
          <w:p>
            <w:r>
              <w:rPr>
                <w:rFonts w:ascii="Times New Roman" w:hAnsi="Times New Roman" w:eastAsia="Times New Roman"/>
                <w:sz w:val="21"/>
              </w:rPr>
              <w:t>3.01</w:t>
            </w:r>
          </w:p>
        </w:tc>
      </w:tr>
      <w:tr>
        <w:trPr>
          <w:cantSplit/>
          <w:cantSplit/>
        </w:trPr>
        <w:tc>
          <w:tcPr>
            <w:tcW w:type="dxa" w:w="3312"/>
          </w:tcPr>
          <w:p>
            <w:r>
              <w:rPr>
                <w:rFonts w:ascii="Times New Roman" w:hAnsi="Times New Roman" w:eastAsia="Times New Roman"/>
                <w:sz w:val="21"/>
              </w:rPr>
              <w:t>39</w:t>
            </w:r>
          </w:p>
        </w:tc>
        <w:tc>
          <w:tcPr>
            <w:tcW w:type="dxa" w:w="3312"/>
          </w:tcPr>
          <w:p>
            <w:r>
              <w:rPr>
                <w:rFonts w:ascii="Times New Roman" w:hAnsi="Times New Roman" w:eastAsia="Times New Roman"/>
                <w:sz w:val="21"/>
              </w:rPr>
              <w:t>Plastics and articles thereof</w:t>
            </w:r>
          </w:p>
        </w:tc>
        <w:tc>
          <w:tcPr>
            <w:tcW w:type="dxa" w:w="3312"/>
          </w:tcPr>
          <w:p>
            <w:r>
              <w:rPr>
                <w:rFonts w:ascii="Times New Roman" w:hAnsi="Times New Roman" w:eastAsia="Times New Roman"/>
                <w:sz w:val="21"/>
              </w:rPr>
              <w:t>2.19</w:t>
            </w:r>
          </w:p>
        </w:tc>
      </w:tr>
      <w:tr>
        <w:trPr>
          <w:cantSplit/>
          <w:cantSplit/>
        </w:trPr>
        <w:tc>
          <w:tcPr>
            <w:tcW w:type="dxa" w:w="3312"/>
            <w:shd w:fill="F4F7F8"/>
          </w:tcPr>
          <w:p>
            <w:r>
              <w:rPr>
                <w:rFonts w:ascii="Times New Roman" w:hAnsi="Times New Roman" w:eastAsia="Times New Roman"/>
                <w:sz w:val="21"/>
              </w:rPr>
              <w:t>71</w:t>
            </w:r>
          </w:p>
        </w:tc>
        <w:tc>
          <w:tcPr>
            <w:tcW w:type="dxa" w:w="3312"/>
            <w:shd w:fill="F4F7F8"/>
          </w:tcPr>
          <w:p>
            <w:r>
              <w:rPr>
                <w:rFonts w:ascii="Times New Roman" w:hAnsi="Times New Roman" w:eastAsia="Times New Roman"/>
                <w:sz w:val="21"/>
              </w:rPr>
              <w:t xml:space="preserve">Natural, cultured pearls; precious, semi-precious stones; </w:t>
            </w:r>
          </w:p>
        </w:tc>
        <w:tc>
          <w:tcPr>
            <w:tcW w:type="dxa" w:w="3312"/>
            <w:shd w:fill="F4F7F8"/>
          </w:tcPr>
          <w:p>
            <w:r>
              <w:rPr>
                <w:rFonts w:ascii="Times New Roman" w:hAnsi="Times New Roman" w:eastAsia="Times New Roman"/>
                <w:sz w:val="21"/>
              </w:rPr>
              <w:t>1.59</w:t>
            </w:r>
          </w:p>
        </w:tc>
      </w:tr>
      <w:tr>
        <w:trPr>
          <w:cantSplit/>
          <w:cantSplit/>
        </w:trPr>
        <w:tc>
          <w:tcPr>
            <w:tcW w:type="dxa" w:w="3312"/>
          </w:tcPr>
          <w:p>
            <w:r>
              <w:rPr>
                <w:rFonts w:ascii="Times New Roman" w:hAnsi="Times New Roman" w:eastAsia="Times New Roman"/>
                <w:sz w:val="21"/>
              </w:rPr>
              <w:t>10</w:t>
            </w:r>
          </w:p>
        </w:tc>
        <w:tc>
          <w:tcPr>
            <w:tcW w:type="dxa" w:w="3312"/>
          </w:tcPr>
          <w:p>
            <w:r>
              <w:rPr>
                <w:rFonts w:ascii="Times New Roman" w:hAnsi="Times New Roman" w:eastAsia="Times New Roman"/>
                <w:sz w:val="21"/>
              </w:rPr>
              <w:t>Cereals</w:t>
            </w:r>
          </w:p>
        </w:tc>
        <w:tc>
          <w:tcPr>
            <w:tcW w:type="dxa" w:w="3312"/>
          </w:tcPr>
          <w:p>
            <w:r>
              <w:rPr>
                <w:rFonts w:ascii="Times New Roman" w:hAnsi="Times New Roman" w:eastAsia="Times New Roman"/>
                <w:sz w:val="21"/>
              </w:rPr>
              <w:t>1.53</w:t>
            </w:r>
          </w:p>
        </w:tc>
      </w:tr>
      <w:tr>
        <w:trPr>
          <w:cantSplit/>
          <w:cantSplit/>
        </w:trPr>
        <w:tc>
          <w:tcPr>
            <w:tcW w:type="dxa" w:w="3312"/>
            <w:shd w:fill="F4F7F8"/>
          </w:tcPr>
          <w:p>
            <w:r>
              <w:rPr>
                <w:rFonts w:ascii="Times New Roman" w:hAnsi="Times New Roman" w:eastAsia="Times New Roman"/>
                <w:sz w:val="21"/>
              </w:rPr>
              <w:t>25</w:t>
            </w:r>
          </w:p>
        </w:tc>
        <w:tc>
          <w:tcPr>
            <w:tcW w:type="dxa" w:w="3312"/>
            <w:shd w:fill="F4F7F8"/>
          </w:tcPr>
          <w:p>
            <w:r>
              <w:rPr>
                <w:rFonts w:ascii="Times New Roman" w:hAnsi="Times New Roman" w:eastAsia="Times New Roman"/>
                <w:sz w:val="21"/>
              </w:rPr>
              <w:t>Salt; sulphur; earths, stone; plastering materials, lime a</w:t>
            </w:r>
          </w:p>
        </w:tc>
        <w:tc>
          <w:tcPr>
            <w:tcW w:type="dxa" w:w="3312"/>
            <w:shd w:fill="F4F7F8"/>
          </w:tcPr>
          <w:p>
            <w:r>
              <w:rPr>
                <w:rFonts w:ascii="Times New Roman" w:hAnsi="Times New Roman" w:eastAsia="Times New Roman"/>
                <w:sz w:val="21"/>
              </w:rPr>
              <w:t>1.44</w:t>
            </w:r>
          </w:p>
        </w:tc>
      </w:tr>
      <w:tr>
        <w:trPr>
          <w:cantSplit/>
          <w:cantSplit/>
        </w:trPr>
        <w:tc>
          <w:tcPr>
            <w:tcW w:type="dxa" w:w="3312"/>
          </w:tcPr>
          <w:p>
            <w:r>
              <w:rPr>
                <w:rFonts w:ascii="Times New Roman" w:hAnsi="Times New Roman" w:eastAsia="Times New Roman"/>
                <w:sz w:val="21"/>
              </w:rPr>
              <w:t>84</w:t>
            </w:r>
          </w:p>
        </w:tc>
        <w:tc>
          <w:tcPr>
            <w:tcW w:type="dxa" w:w="3312"/>
          </w:tcPr>
          <w:p>
            <w:r>
              <w:rPr>
                <w:rFonts w:ascii="Times New Roman" w:hAnsi="Times New Roman" w:eastAsia="Times New Roman"/>
                <w:sz w:val="21"/>
              </w:rPr>
              <w:t>Nuclear reactors, boilers, machinery and mechanical applia</w:t>
            </w:r>
          </w:p>
        </w:tc>
        <w:tc>
          <w:tcPr>
            <w:tcW w:type="dxa" w:w="3312"/>
          </w:tcPr>
          <w:p>
            <w:r>
              <w:rPr>
                <w:rFonts w:ascii="Times New Roman" w:hAnsi="Times New Roman" w:eastAsia="Times New Roman"/>
                <w:sz w:val="21"/>
              </w:rPr>
              <w:t>1.27</w:t>
            </w:r>
          </w:p>
        </w:tc>
      </w:tr>
      <w:tr>
        <w:trPr>
          <w:cantSplit/>
          <w:cantSplit/>
        </w:trPr>
        <w:tc>
          <w:tcPr>
            <w:tcW w:type="dxa" w:w="3312"/>
            <w:shd w:fill="F4F7F8"/>
          </w:tcPr>
          <w:p>
            <w:r>
              <w:rPr>
                <w:rFonts w:ascii="Times New Roman" w:hAnsi="Times New Roman" w:eastAsia="Times New Roman"/>
                <w:sz w:val="21"/>
              </w:rPr>
              <w:t>85</w:t>
            </w:r>
          </w:p>
        </w:tc>
        <w:tc>
          <w:tcPr>
            <w:tcW w:type="dxa" w:w="3312"/>
            <w:shd w:fill="F4F7F8"/>
          </w:tcPr>
          <w:p>
            <w:r>
              <w:rPr>
                <w:rFonts w:ascii="Times New Roman" w:hAnsi="Times New Roman" w:eastAsia="Times New Roman"/>
                <w:sz w:val="21"/>
              </w:rPr>
              <w:t>Electrical machinery and equipment and parts thereof; soun</w:t>
            </w:r>
          </w:p>
        </w:tc>
        <w:tc>
          <w:tcPr>
            <w:tcW w:type="dxa" w:w="3312"/>
            <w:shd w:fill="F4F7F8"/>
          </w:tcPr>
          <w:p>
            <w:r>
              <w:rPr>
                <w:rFonts w:ascii="Times New Roman" w:hAnsi="Times New Roman" w:eastAsia="Times New Roman"/>
                <w:sz w:val="21"/>
              </w:rPr>
              <w:t>0.61</w:t>
            </w:r>
          </w:p>
        </w:tc>
      </w:tr>
    </w:tbl>
    <w:p>
      <w:pPr>
        <w:spacing w:after="0"/>
      </w:pPr>
    </w:p>
    <w:p>
      <w:pPr>
        <w:pStyle w:val="Caption"/>
      </w:pPr>
      <w:r>
        <w:rPr>
          <w:rFonts w:ascii="Times New Roman" w:hAnsi="Times New Roman" w:eastAsia="Times New Roman"/>
        </w:rPr>
        <w:t>Note: FOB mirror data reported by selected partners; coverage limitations and missing observations are described in Section 5. Source: author’s calculations from UN Comtrade (2026).</w:t>
      </w:r>
    </w:p>
    <w:p>
      <w:pPr>
        <w:jc w:val="center"/>
      </w:pPr>
      <w:r>
        <w:rPr>
          <w:rFonts w:ascii="Times New Roman" w:hAnsi="Times New Roman" w:eastAsia="Times New Roman"/>
          <w:sz w:val="26"/>
        </w:rPr>
        <w:drawing>
          <wp:inline xmlns:a="http://schemas.openxmlformats.org/drawingml/2006/main" xmlns:pic="http://schemas.openxmlformats.org/drawingml/2006/picture">
            <wp:extent cx="5897880" cy="3686175"/>
            <wp:docPr id="1" name="Picture 1"/>
            <wp:cNvGraphicFramePr>
              <a:graphicFrameLocks noChangeAspect="1"/>
            </wp:cNvGraphicFramePr>
            <a:graphic>
              <a:graphicData uri="http://schemas.openxmlformats.org/drawingml/2006/picture">
                <pic:pic>
                  <pic:nvPicPr>
                    <pic:cNvPr id="0" name="mirror_imports_by_origin.png"/>
                    <pic:cNvPicPr/>
                  </pic:nvPicPr>
                  <pic:blipFill>
                    <a:blip r:embed="rId11"/>
                    <a:stretch>
                      <a:fillRect/>
                    </a:stretch>
                  </pic:blipFill>
                  <pic:spPr>
                    <a:xfrm>
                      <a:off x="0" y="0"/>
                      <a:ext cx="5897880" cy="3686175"/>
                    </a:xfrm>
                    <a:prstGeom prst="rect"/>
                  </pic:spPr>
                </pic:pic>
              </a:graphicData>
            </a:graphic>
          </wp:inline>
        </w:drawing>
      </w:r>
    </w:p>
    <w:p>
      <w:pPr>
        <w:pStyle w:val="Caption"/>
        <w:jc w:val="center"/>
      </w:pPr>
      <w:r>
        <w:rPr>
          <w:rFonts w:ascii="Times New Roman" w:hAnsi="Times New Roman" w:eastAsia="Times New Roman"/>
        </w:rPr>
        <w:t>Figure 1. Partner-reported exports to Bangladesh from selected conflict-exposed origins, 2020–2024. Missing partner reports are shown as zero; values are not a complete measure of Bangladesh imports. Source: author’s calculations from UN Comtrade.</w:t>
      </w:r>
    </w:p>
    <w:p>
      <w:pPr>
        <w:pStyle w:val="Heading2"/>
      </w:pPr>
      <w:r>
        <w:rPr>
          <w:rFonts w:ascii="Times New Roman" w:hAnsi="Times New Roman" w:eastAsia="Times New Roman"/>
        </w:rPr>
        <w:t>2.2 Exposure is also route- and currency-based</w:t>
      </w:r>
    </w:p>
    <w:p>
      <w:r>
        <w:rPr>
          <w:rFonts w:ascii="Times New Roman" w:hAnsi="Times New Roman" w:eastAsia="Times New Roman"/>
          <w:sz w:val="26"/>
        </w:rPr>
        <w:t>A shipment from a non-conflict country can still be conflict-exposed if it crosses a high-risk waterway, requires trans-shipment through a disrupted hub or is priced against a benchmark set in an affected region. The Red Sea disruption illustrates this distinction. UN Trade and Development documented the combined pressure from disruption in the Red Sea, Black Sea and Panama Canal, including longer routes and higher costs (UNCTAD, 2024). Rerouting around the Cape of Good Hope adds sailing time, fuel consumption, vessel demand and inventory days. Importers then need more trade finance for longer periods, while exporters face uncertain delivery schedules.</w:t>
      </w:r>
    </w:p>
    <w:p>
      <w:r>
        <w:rPr>
          <w:rFonts w:ascii="Times New Roman" w:hAnsi="Times New Roman" w:eastAsia="Times New Roman"/>
          <w:sz w:val="26"/>
        </w:rPr>
        <w:t>The US dollar is the second major exposure. Most commodity and freight contracts are denominated in dollars. If the taka depreciates, a stable US-dollar invoice becomes more expensive in domestic currency. If the commodity price and freight charge rise at the same time, depreciation magnifies both. Import restrictions or letter-of-credit constraints may reduce measured imports, but they can also ration intermediate inputs and weaken production.</w:t>
      </w:r>
    </w:p>
    <w:p>
      <w:pPr>
        <w:pStyle w:val="Heading1"/>
      </w:pPr>
      <w:r>
        <w:rPr>
          <w:rFonts w:ascii="Times New Roman" w:hAnsi="Times New Roman" w:eastAsia="Times New Roman"/>
        </w:rPr>
        <w:t>3. Recent empirical and policy literature</w:t>
      </w:r>
    </w:p>
    <w:p>
      <w:r>
        <w:rPr>
          <w:rFonts w:ascii="Times New Roman" w:hAnsi="Times New Roman" w:eastAsia="Times New Roman"/>
          <w:sz w:val="26"/>
        </w:rPr>
        <w:t>International research identifies several recurring channels. The World Bank’s commodity-market work shows that geopolitical shocks can create sharp, uneven price movements in energy, food and fertiliser markets (World Bank, 2024a). UNCTAD (2024) emphasises the logistics channel: route diversions raise distance, freight and emissions and create particular risks for developing economies. The New York Fed’s Global Supply Chain Pressure Index combines transportation-cost and manufacturing indicators and shows how congestion and delivery pressures rose exceptionally during the pandemic before easing (Benigno et al., 2022; Federal Reserve Bank of New York, 2026).</w:t>
      </w:r>
    </w:p>
    <w:p>
      <w:r>
        <w:rPr>
          <w:rFonts w:ascii="Times New Roman" w:hAnsi="Times New Roman" w:eastAsia="Times New Roman"/>
          <w:sz w:val="26"/>
        </w:rPr>
        <w:t>The IMF’s PortWatch work demonstrates the value of high-frequency vessel and port data for nowcasting merchandise trade, particularly when official releases arrive with a lag (IMF, 2026). This matters for Bangladesh because an annual model cannot identify a sudden disruption quickly enough for operational decisions. Port calls, freight quotations, letters of credit, customs releases and commodity benchmarks should therefore be monitored together.</w:t>
      </w:r>
    </w:p>
    <w:p>
      <w:r>
        <w:rPr>
          <w:rFonts w:ascii="Times New Roman" w:hAnsi="Times New Roman" w:eastAsia="Times New Roman"/>
          <w:sz w:val="26"/>
        </w:rPr>
        <w:t>Bangladesh-focused assessments by multilateral institutions have repeatedly highlighted elevated inflation, exchange-rate pressure, energy import costs, reserve constraints and the need for macroeconomic reform (World Bank, 2024b; ADB, 2024; IMF, 2023). The domestic evidence is consistent with a layered pass-through process: external prices first affect landed cost; currency depreciation and financial constraints amplify the change; administered prices and subsidies can delay transmission; and second-round effects then operate through transport, wages and expectations. The delay means that falling global prices do not necessarily produce an immediate or equal decline in retail prices.</w:t>
      </w:r>
    </w:p>
    <w:p>
      <w:pPr/>
      <w:r>
        <w:rPr>
          <w:rFonts w:ascii="Times New Roman" w:hAnsi="Times New Roman" w:eastAsia="Times New Roman"/>
          <w:b w:val="0"/>
          <w:i w:val="0"/>
          <w:sz w:val="26"/>
        </w:rPr>
        <w:t>Exchange-rate pass-through research provides the first empirical foundation for the model. Choudhri and Hakura (2006) find across countries that the inflation environment helps explain the extent to which exchange-rate changes pass into domestic prices. Ha, Stocker and Yilmazkuday (2020) show that pass-through varies with the type of exchange-rate shock, macroeconomic conditions and country characteristics. For Bangladesh, this implies that the taka-dollar rate should not be treated as a mechanical one-for-one price converter; credibility, expectations, market structure and the composition of imports influence the speed and size of transmission.</w:t>
      </w:r>
    </w:p>
    <w:p>
      <w:pPr/>
      <w:r>
        <w:rPr>
          <w:rFonts w:ascii="Times New Roman" w:hAnsi="Times New Roman" w:eastAsia="Times New Roman"/>
          <w:b w:val="0"/>
          <w:i w:val="0"/>
          <w:sz w:val="26"/>
        </w:rPr>
        <w:t>Oil-price studies also warn against treating every increase as the same shock. Kilian (2009) separates oil-supply shocks, global aggregate-demand shocks and oil-market-specific demand shocks and finds that their macroeconomic effects differ. The distinction is policy-relevant because a conflict-related supply interruption may require a different response from a price rise caused by strong global demand. The present article uses the change in Brent as a compact external-cost indicator, but the annual sample is too small to identify these structural shocks separately.</w:t>
      </w:r>
    </w:p>
    <w:p>
      <w:pPr/>
      <w:r>
        <w:rPr>
          <w:rFonts w:ascii="Times New Roman" w:hAnsi="Times New Roman" w:eastAsia="Times New Roman"/>
          <w:b w:val="0"/>
          <w:i w:val="0"/>
          <w:sz w:val="26"/>
        </w:rPr>
        <w:t>The logistics channel is supported by Carrière-Swallow et al. (2022), who use a large cross-country panel and find that increases in global shipping costs are followed by higher import prices, producer prices, headline inflation, core inflation and inflation expectations. Their findings also suggest that the effects are stronger in economies with high import dependence and less well-anchored expectations. This supports the inclusion of supply-chain conditions in the conceptual framework, although the GSCPI is broader than a freight-rate index.</w:t>
      </w:r>
    </w:p>
    <w:p>
      <w:pPr/>
      <w:r>
        <w:rPr>
          <w:rFonts w:ascii="Times New Roman" w:hAnsi="Times New Roman" w:eastAsia="Times New Roman"/>
          <w:b w:val="0"/>
          <w:i w:val="0"/>
          <w:sz w:val="26"/>
        </w:rPr>
        <w:t>Geopolitical risk can affect trade and prices before physical supply is interrupted. Caldara and Iacoviello (2022) construct a news-based geopolitical-risk index and show that elevated risk is associated with weaker activity and trade. Auer, Borio and Filardo (2017) further demonstrate that global value-chain linkages have increased the role of global factors in domestic inflation. Taken together, these studies justify examining conflict, international input prices, shipping conditions and exchange-rate movements as connected rather than isolated channels.</w:t>
      </w:r>
    </w:p>
    <w:p>
      <w:pPr/>
      <w:r>
        <w:rPr>
          <w:rFonts w:ascii="Times New Roman" w:hAnsi="Times New Roman" w:eastAsia="Times New Roman"/>
          <w:b w:val="0"/>
          <w:i w:val="0"/>
          <w:sz w:val="26"/>
        </w:rPr>
        <w:t>The literature nevertheless cautions against over-identification. A full VAR would treat several variables as jointly endogenous and trace dynamic shocks through impulse responses, while a VECM would additionally require evidence that non-stationary level variables are cointegrated. This article does not make either claim. Its econometric exercise is a deliberately small, single-equation pass-through model designed to quantify conditional historical associations and complement, not replace, the descriptive and institutional analysis.</w:t>
      </w:r>
    </w:p>
    <w:p>
      <w:pPr>
        <w:pStyle w:val="Heading1"/>
      </w:pPr>
      <w:r>
        <w:rPr>
          <w:rFonts w:ascii="Times New Roman" w:hAnsi="Times New Roman" w:eastAsia="Times New Roman"/>
        </w:rPr>
        <w:t>4. Analytical framework</w:t>
      </w:r>
    </w:p>
    <w:p>
      <w:r>
        <w:rPr>
          <w:rFonts w:ascii="Times New Roman" w:hAnsi="Times New Roman" w:eastAsia="Times New Roman"/>
          <w:sz w:val="26"/>
        </w:rPr>
        <w:t>The landed taka cost of an imported product can be expressed conceptually as the dollar commodity price plus freight, insurance and other charges, multiplied by the taka–dollar exchange rate, with tariffs, taxes, port charges and domestic margins added thereafter. This accounting identity clarifies why focusing only on the international spot price is incomplete.</w:t>
      </w:r>
    </w:p>
    <w:p>
      <w:r>
        <w:rPr>
          <w:rFonts w:ascii="Times New Roman" w:hAnsi="Times New Roman" w:eastAsia="Times New Roman"/>
          <w:sz w:val="26"/>
        </w:rPr>
        <w:t>Four stages link conflict to the domestic economy. First, conflict changes expected availability and risk, moving benchmark prices and insurance. Second, shipping disruptions change route distance, vessel capacity and delivery time. Third, foreign-exchange scarcity and depreciation translate dollar costs into taka and can restrict access to inputs. Fourth, firms and public utilities decide how much of the cost to absorb, finance or pass on. The final effect depends on market competition, inventories, administered pricing, subsidy policy and household demand.</w:t>
      </w:r>
    </w:p>
    <w:p>
      <w:r>
        <w:rPr>
          <w:rFonts w:ascii="Times New Roman" w:hAnsi="Times New Roman" w:eastAsia="Times New Roman"/>
          <w:sz w:val="26"/>
        </w:rPr>
        <w:t>For exports, the exchange-rate effect is ambiguous. Depreciation can raise taka revenue from a dollar sale, but the advantage is smaller when exporters use imported fuel, cotton, chemicals, machinery and transport services. Longer lead times can also damage reliability, a key non-price component of competitiveness. Energy shortages reduce capacity utilisation and can make air freight or expedited shipping necessary. The net effect differs across firms according to import intensity, energy efficiency, bargaining power and access to finance.</w:t>
      </w:r>
    </w:p>
    <w:p>
      <w:pPr>
        <w:pStyle w:val="Heading1"/>
      </w:pPr>
      <w:r>
        <w:rPr>
          <w:rFonts w:ascii="Times New Roman" w:hAnsi="Times New Roman" w:eastAsia="Times New Roman"/>
        </w:rPr>
        <w:t>5. Data and methodology</w:t>
      </w:r>
    </w:p>
    <w:p>
      <w:pPr>
        <w:pStyle w:val="Heading2"/>
      </w:pPr>
      <w:r>
        <w:rPr>
          <w:rFonts w:ascii="Times New Roman" w:hAnsi="Times New Roman" w:eastAsia="Times New Roman"/>
          <w:b w:val="0"/>
          <w:i w:val="0"/>
        </w:rPr>
        <w:t>5.1 Data sources and construction</w:t>
      </w:r>
    </w:p>
    <w:p>
      <w:pPr/>
      <w:r>
        <w:rPr>
          <w:rFonts w:ascii="Times New Roman" w:hAnsi="Times New Roman" w:eastAsia="Times New Roman"/>
          <w:b w:val="0"/>
          <w:i w:val="0"/>
          <w:sz w:val="26"/>
        </w:rPr>
        <w:t>The descriptive dataset combines five sources. Annual CPI inflation, the official exchange rate and merchandise trade values are taken from the World Bank’s World Development Indicators. Monthly Brent crude prices are taken from the World Bank Pink Sheet and averaged to calendar years. Monthly observations of the New York Fed’s Global Supply Chain Pressure Index are likewise averaged to calendar years. Bilateral product exposure uses exports reported by selected partners to Bangladesh in UN Comtrade at the HS two-digit level for 2020–2024.</w:t>
      </w:r>
    </w:p>
    <w:p>
      <w:pPr/>
      <w:r>
        <w:rPr>
          <w:rFonts w:ascii="Times New Roman" w:hAnsi="Times New Roman" w:eastAsia="Times New Roman"/>
          <w:b w:val="0"/>
          <w:i w:val="0"/>
          <w:sz w:val="26"/>
        </w:rPr>
        <w:t>Mirror trade is used because Bangladesh’s recent direct annual observations were not available in the public Comtrade series used for this study. Mirror data are valuable but are not identical to Bangladesh’s recorded imports: exports are normally valued FOB while imports are normally valued cost, insurance and freight; reporting dates can differ; re-exports may be attributed differently; and public preview access produced gaps for some partner-years. Partner values are therefore used to identify product patterns rather than to claim a complete measure of Bangladesh’s imports. Tables carry this caveat explicitly.</w:t>
      </w:r>
    </w:p>
    <w:p>
      <w:pPr>
        <w:pStyle w:val="Heading2"/>
      </w:pPr>
      <w:r>
        <w:rPr>
          <w:rFonts w:ascii="Times New Roman" w:hAnsi="Times New Roman" w:eastAsia="Times New Roman"/>
          <w:b w:val="0"/>
          <w:i w:val="0"/>
        </w:rPr>
        <w:t>5.2 Econometric model and variables</w:t>
      </w:r>
    </w:p>
    <w:p>
      <w:pPr/>
      <w:r>
        <w:rPr>
          <w:rFonts w:ascii="Times New Roman" w:hAnsi="Times New Roman" w:eastAsia="Times New Roman"/>
          <w:b w:val="0"/>
          <w:i w:val="0"/>
          <w:sz w:val="26"/>
        </w:rPr>
        <w:t>The study estimates a single-equation dynamic OLS model. In time-series terminology, its structure is an ADL(1,0,0,0): current inflation depends on one lag of inflation and the current values of three explanatory variables. It is not a VAR, because the study does not estimate a system in which every variable is jointly endogenous. It is not a VECM, because no long-run cointegrating relationship among non-stationary level variables is specified or estimated. It is also not an ARDL bounds-testing exercise. The purpose is narrower: to examine conditional annual associations between inflation, exchange-rate depreciation, changes in Brent prices and global supply-chain pressure.</w:t>
      </w:r>
    </w:p>
    <w:p>
      <w:pPr/>
      <w:r>
        <w:rPr>
          <w:rFonts w:ascii="Times New Roman" w:hAnsi="Times New Roman" w:eastAsia="Times New Roman"/>
          <w:b w:val="0"/>
          <w:i w:val="0"/>
          <w:sz w:val="26"/>
        </w:rPr>
        <w:t>The population equation is:</w:t>
      </w:r>
    </w:p>
    <w:p>
      <w:pPr>
        <w:pStyle w:val="Equation"/>
        <w:spacing w:before="120" w:after="160"/>
        <w:jc w:val="center"/>
      </w:pPr>
      <w:r>
        <w:rPr>
          <w:rFonts w:ascii="Times New Roman" w:hAnsi="Times New Roman" w:eastAsia="Times New Roman"/>
          <w:b w:val="0"/>
          <w:i w:val="0"/>
          <w:sz w:val="26"/>
        </w:rPr>
        <w:t>πₜ = α + β₁[100Δln(Eₜ)] + β₂[100Δln(Bₜ)] + β₃Gₜ + ρπₜ₋₁ + uₜ</w:t>
      </w:r>
    </w:p>
    <w:p>
      <w:pPr/>
      <w:r>
        <w:rPr>
          <w:rFonts w:ascii="Times New Roman" w:hAnsi="Times New Roman" w:eastAsia="Times New Roman"/>
          <w:b w:val="0"/>
          <w:i w:val="0"/>
          <w:sz w:val="26"/>
        </w:rPr>
        <w:t>where t denotes year and Δ is the first-difference operator. Multiplication by 100 converts the log changes in the exchange rate and Brent price into approximate percentage changes. The expected signs are β₁ &gt; 0, β₂ &gt; 0 and ρ &gt; 0. The sign of β₃ is expected to be positive in a sufficiently rich model, but annual averaging, timing differences and overlap with oil and exchange-rate movements can make its coefficient unstable in this small sample.</w:t>
      </w:r>
    </w:p>
    <w:p>
      <w:pPr/>
      <w:r>
        <w:rPr>
          <w:rFonts w:ascii="Times New Roman" w:hAnsi="Times New Roman" w:eastAsia="Times New Roman"/>
          <w:b w:val="0"/>
          <w:i w:val="0"/>
          <w:sz w:val="26"/>
        </w:rPr>
        <w:t>Table 2A. Definition and measurement of econometric variables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84"/>
        <w:gridCol w:w="2484"/>
        <w:gridCol w:w="2484"/>
        <w:gridCol w:w="2484"/>
      </w:tblGrid>
      <w:tr>
        <w:trPr>
          <w:tblHeader w:val="true"/>
          <w:cantSplit/>
        </w:trPr>
        <w:tc>
          <w:tcPr>
            <w:tcW w:type="dxa" w:w="1080"/>
            <w:shd w:fill="17365D"/>
            <w:vAlign w:val="center"/>
          </w:tcPr>
          <w:p>
            <w:r>
              <w:rPr>
                <w:rFonts w:ascii="Times New Roman" w:hAnsi="Times New Roman" w:eastAsia="Times New Roman"/>
                <w:b/>
                <w:color w:val="FFFFFF"/>
                <w:sz w:val="21"/>
              </w:rPr>
              <w:t>Symbol</w:t>
            </w:r>
          </w:p>
        </w:tc>
        <w:tc>
          <w:tcPr>
            <w:tcW w:type="dxa" w:w="4392"/>
            <w:shd w:fill="17365D"/>
            <w:vAlign w:val="center"/>
          </w:tcPr>
          <w:p>
            <w:r>
              <w:rPr>
                <w:rFonts w:ascii="Times New Roman" w:hAnsi="Times New Roman" w:eastAsia="Times New Roman"/>
                <w:b/>
                <w:color w:val="FFFFFF"/>
                <w:sz w:val="21"/>
              </w:rPr>
              <w:t>Definition</w:t>
            </w:r>
          </w:p>
        </w:tc>
        <w:tc>
          <w:tcPr>
            <w:tcW w:type="dxa" w:w="1944"/>
            <w:shd w:fill="17365D"/>
            <w:vAlign w:val="center"/>
          </w:tcPr>
          <w:p>
            <w:r>
              <w:rPr>
                <w:rFonts w:ascii="Times New Roman" w:hAnsi="Times New Roman" w:eastAsia="Times New Roman"/>
                <w:b/>
                <w:color w:val="FFFFFF"/>
                <w:sz w:val="21"/>
              </w:rPr>
              <w:t>Unit</w:t>
            </w:r>
          </w:p>
        </w:tc>
        <w:tc>
          <w:tcPr>
            <w:tcW w:type="dxa" w:w="1800"/>
            <w:shd w:fill="17365D"/>
            <w:vAlign w:val="center"/>
          </w:tcPr>
          <w:p>
            <w:r>
              <w:rPr>
                <w:rFonts w:ascii="Times New Roman" w:hAnsi="Times New Roman" w:eastAsia="Times New Roman"/>
                <w:b/>
                <w:color w:val="FFFFFF"/>
                <w:sz w:val="21"/>
              </w:rPr>
              <w:t>Source</w:t>
            </w:r>
          </w:p>
        </w:tc>
      </w:tr>
      <w:tr>
        <w:trPr>
          <w:cantSplit/>
          <w:cantSplit/>
        </w:trPr>
        <w:tc>
          <w:tcPr>
            <w:tcW w:type="dxa" w:w="1080"/>
            <w:vAlign w:val="center"/>
          </w:tcPr>
          <w:p>
            <w:pPr>
              <w:spacing w:after="40"/>
            </w:pPr>
            <w:r>
              <w:rPr>
                <w:rFonts w:ascii="Times New Roman" w:hAnsi="Times New Roman" w:eastAsia="Times New Roman"/>
                <w:sz w:val="21"/>
              </w:rPr>
              <w:t>πₜ</w:t>
            </w:r>
          </w:p>
        </w:tc>
        <w:tc>
          <w:tcPr>
            <w:tcW w:type="dxa" w:w="4392"/>
            <w:vAlign w:val="center"/>
          </w:tcPr>
          <w:p>
            <w:pPr>
              <w:spacing w:after="40"/>
            </w:pPr>
            <w:r>
              <w:rPr>
                <w:rFonts w:ascii="Times New Roman" w:hAnsi="Times New Roman" w:eastAsia="Times New Roman"/>
                <w:sz w:val="21"/>
              </w:rPr>
              <w:t>Annual CPI inflation in Bangladesh</w:t>
            </w:r>
          </w:p>
        </w:tc>
        <w:tc>
          <w:tcPr>
            <w:tcW w:type="dxa" w:w="1944"/>
            <w:vAlign w:val="center"/>
          </w:tcPr>
          <w:p>
            <w:pPr>
              <w:spacing w:after="40"/>
            </w:pPr>
            <w:r>
              <w:rPr>
                <w:rFonts w:ascii="Times New Roman" w:hAnsi="Times New Roman" w:eastAsia="Times New Roman"/>
                <w:sz w:val="21"/>
              </w:rPr>
              <w:t>Per cent</w:t>
            </w:r>
          </w:p>
        </w:tc>
        <w:tc>
          <w:tcPr>
            <w:tcW w:type="dxa" w:w="1800"/>
            <w:vAlign w:val="center"/>
          </w:tcPr>
          <w:p>
            <w:pPr>
              <w:spacing w:after="40"/>
            </w:pPr>
            <w:r>
              <w:rPr>
                <w:rFonts w:ascii="Times New Roman" w:hAnsi="Times New Roman" w:eastAsia="Times New Roman"/>
                <w:sz w:val="21"/>
              </w:rPr>
              <w:t>WDI</w:t>
            </w:r>
          </w:p>
        </w:tc>
      </w:tr>
      <w:tr>
        <w:trPr>
          <w:cantSplit/>
          <w:cantSplit/>
        </w:trPr>
        <w:tc>
          <w:tcPr>
            <w:tcW w:type="dxa" w:w="1080"/>
            <w:vAlign w:val="center"/>
            <w:shd w:fill="F2F5F7"/>
          </w:tcPr>
          <w:p>
            <w:pPr>
              <w:spacing w:after="40"/>
            </w:pPr>
            <w:r>
              <w:rPr>
                <w:rFonts w:ascii="Times New Roman" w:hAnsi="Times New Roman" w:eastAsia="Times New Roman"/>
                <w:sz w:val="21"/>
              </w:rPr>
              <w:t>Eₜ</w:t>
            </w:r>
          </w:p>
        </w:tc>
        <w:tc>
          <w:tcPr>
            <w:tcW w:type="dxa" w:w="4392"/>
            <w:vAlign w:val="center"/>
            <w:shd w:fill="F2F5F7"/>
          </w:tcPr>
          <w:p>
            <w:pPr>
              <w:spacing w:after="40"/>
            </w:pPr>
            <w:r>
              <w:rPr>
                <w:rFonts w:ascii="Times New Roman" w:hAnsi="Times New Roman" w:eastAsia="Times New Roman"/>
                <w:sz w:val="21"/>
              </w:rPr>
              <w:t>Official exchange rate, Bangladesh taka per US dollar</w:t>
            </w:r>
          </w:p>
        </w:tc>
        <w:tc>
          <w:tcPr>
            <w:tcW w:type="dxa" w:w="1944"/>
            <w:vAlign w:val="center"/>
            <w:shd w:fill="F2F5F7"/>
          </w:tcPr>
          <w:p>
            <w:pPr>
              <w:spacing w:after="40"/>
            </w:pPr>
            <w:r>
              <w:rPr>
                <w:rFonts w:ascii="Times New Roman" w:hAnsi="Times New Roman" w:eastAsia="Times New Roman"/>
                <w:sz w:val="21"/>
              </w:rPr>
              <w:t>Tk/US$, annual average</w:t>
            </w:r>
          </w:p>
        </w:tc>
        <w:tc>
          <w:tcPr>
            <w:tcW w:type="dxa" w:w="1800"/>
            <w:vAlign w:val="center"/>
            <w:shd w:fill="F2F5F7"/>
          </w:tcPr>
          <w:p>
            <w:pPr>
              <w:spacing w:after="40"/>
            </w:pPr>
            <w:r>
              <w:rPr>
                <w:rFonts w:ascii="Times New Roman" w:hAnsi="Times New Roman" w:eastAsia="Times New Roman"/>
                <w:sz w:val="21"/>
              </w:rPr>
              <w:t>WDI</w:t>
            </w:r>
          </w:p>
        </w:tc>
      </w:tr>
      <w:tr>
        <w:trPr>
          <w:cantSplit/>
          <w:cantSplit/>
        </w:trPr>
        <w:tc>
          <w:tcPr>
            <w:tcW w:type="dxa" w:w="1080"/>
            <w:vAlign w:val="center"/>
          </w:tcPr>
          <w:p>
            <w:pPr>
              <w:spacing w:after="40"/>
            </w:pPr>
            <w:r>
              <w:rPr>
                <w:rFonts w:ascii="Times New Roman" w:hAnsi="Times New Roman" w:eastAsia="Times New Roman"/>
                <w:sz w:val="21"/>
              </w:rPr>
              <w:t>100Δln(Eₜ)</w:t>
            </w:r>
          </w:p>
        </w:tc>
        <w:tc>
          <w:tcPr>
            <w:tcW w:type="dxa" w:w="4392"/>
            <w:vAlign w:val="center"/>
          </w:tcPr>
          <w:p>
            <w:pPr>
              <w:spacing w:after="40"/>
            </w:pPr>
            <w:r>
              <w:rPr>
                <w:rFonts w:ascii="Times New Roman" w:hAnsi="Times New Roman" w:eastAsia="Times New Roman"/>
                <w:sz w:val="21"/>
              </w:rPr>
              <w:t>Approximate annual percentage depreciation of the taka; a positive value means more taka per US dollar</w:t>
            </w:r>
          </w:p>
        </w:tc>
        <w:tc>
          <w:tcPr>
            <w:tcW w:type="dxa" w:w="1944"/>
            <w:vAlign w:val="center"/>
          </w:tcPr>
          <w:p>
            <w:pPr>
              <w:spacing w:after="40"/>
            </w:pPr>
            <w:r>
              <w:rPr>
                <w:rFonts w:ascii="Times New Roman" w:hAnsi="Times New Roman" w:eastAsia="Times New Roman"/>
                <w:sz w:val="21"/>
              </w:rPr>
              <w:t>Per cent</w:t>
            </w:r>
          </w:p>
        </w:tc>
        <w:tc>
          <w:tcPr>
            <w:tcW w:type="dxa" w:w="1800"/>
            <w:vAlign w:val="center"/>
          </w:tcPr>
          <w:p>
            <w:pPr>
              <w:spacing w:after="40"/>
            </w:pPr>
            <w:r>
              <w:rPr>
                <w:rFonts w:ascii="Times New Roman" w:hAnsi="Times New Roman" w:eastAsia="Times New Roman"/>
                <w:sz w:val="21"/>
              </w:rPr>
              <w:t>Author’s calculation</w:t>
            </w:r>
          </w:p>
        </w:tc>
      </w:tr>
      <w:tr>
        <w:trPr>
          <w:cantSplit/>
          <w:cantSplit/>
        </w:trPr>
        <w:tc>
          <w:tcPr>
            <w:tcW w:type="dxa" w:w="1080"/>
            <w:vAlign w:val="center"/>
            <w:shd w:fill="F2F5F7"/>
          </w:tcPr>
          <w:p>
            <w:pPr>
              <w:spacing w:after="40"/>
            </w:pPr>
            <w:r>
              <w:rPr>
                <w:rFonts w:ascii="Times New Roman" w:hAnsi="Times New Roman" w:eastAsia="Times New Roman"/>
                <w:sz w:val="21"/>
              </w:rPr>
              <w:t>Bₜ</w:t>
            </w:r>
          </w:p>
        </w:tc>
        <w:tc>
          <w:tcPr>
            <w:tcW w:type="dxa" w:w="4392"/>
            <w:vAlign w:val="center"/>
            <w:shd w:fill="F2F5F7"/>
          </w:tcPr>
          <w:p>
            <w:pPr>
              <w:spacing w:after="40"/>
            </w:pPr>
            <w:r>
              <w:rPr>
                <w:rFonts w:ascii="Times New Roman" w:hAnsi="Times New Roman" w:eastAsia="Times New Roman"/>
                <w:sz w:val="21"/>
              </w:rPr>
              <w:t>Brent crude-oil price</w:t>
            </w:r>
          </w:p>
        </w:tc>
        <w:tc>
          <w:tcPr>
            <w:tcW w:type="dxa" w:w="1944"/>
            <w:vAlign w:val="center"/>
            <w:shd w:fill="F2F5F7"/>
          </w:tcPr>
          <w:p>
            <w:pPr>
              <w:spacing w:after="40"/>
            </w:pPr>
            <w:r>
              <w:rPr>
                <w:rFonts w:ascii="Times New Roman" w:hAnsi="Times New Roman" w:eastAsia="Times New Roman"/>
                <w:sz w:val="21"/>
              </w:rPr>
              <w:t>US$/barrel, annual average</w:t>
            </w:r>
          </w:p>
        </w:tc>
        <w:tc>
          <w:tcPr>
            <w:tcW w:type="dxa" w:w="1800"/>
            <w:vAlign w:val="center"/>
            <w:shd w:fill="F2F5F7"/>
          </w:tcPr>
          <w:p>
            <w:pPr>
              <w:spacing w:after="40"/>
            </w:pPr>
            <w:r>
              <w:rPr>
                <w:rFonts w:ascii="Times New Roman" w:hAnsi="Times New Roman" w:eastAsia="Times New Roman"/>
                <w:sz w:val="21"/>
              </w:rPr>
              <w:t>World Bank Pink Sheet</w:t>
            </w:r>
          </w:p>
        </w:tc>
      </w:tr>
      <w:tr>
        <w:trPr>
          <w:cantSplit/>
          <w:cantSplit/>
        </w:trPr>
        <w:tc>
          <w:tcPr>
            <w:tcW w:type="dxa" w:w="1080"/>
            <w:vAlign w:val="center"/>
          </w:tcPr>
          <w:p>
            <w:pPr>
              <w:spacing w:after="40"/>
            </w:pPr>
            <w:r>
              <w:rPr>
                <w:rFonts w:ascii="Times New Roman" w:hAnsi="Times New Roman" w:eastAsia="Times New Roman"/>
                <w:sz w:val="21"/>
              </w:rPr>
              <w:t>100Δln(Bₜ)</w:t>
            </w:r>
          </w:p>
        </w:tc>
        <w:tc>
          <w:tcPr>
            <w:tcW w:type="dxa" w:w="4392"/>
            <w:vAlign w:val="center"/>
          </w:tcPr>
          <w:p>
            <w:pPr>
              <w:spacing w:after="40"/>
            </w:pPr>
            <w:r>
              <w:rPr>
                <w:rFonts w:ascii="Times New Roman" w:hAnsi="Times New Roman" w:eastAsia="Times New Roman"/>
                <w:sz w:val="21"/>
              </w:rPr>
              <w:t>Approximate annual percentage change in the Brent price</w:t>
            </w:r>
          </w:p>
        </w:tc>
        <w:tc>
          <w:tcPr>
            <w:tcW w:type="dxa" w:w="1944"/>
            <w:vAlign w:val="center"/>
          </w:tcPr>
          <w:p>
            <w:pPr>
              <w:spacing w:after="40"/>
            </w:pPr>
            <w:r>
              <w:rPr>
                <w:rFonts w:ascii="Times New Roman" w:hAnsi="Times New Roman" w:eastAsia="Times New Roman"/>
                <w:sz w:val="21"/>
              </w:rPr>
              <w:t>Per cent</w:t>
            </w:r>
          </w:p>
        </w:tc>
        <w:tc>
          <w:tcPr>
            <w:tcW w:type="dxa" w:w="1800"/>
            <w:vAlign w:val="center"/>
          </w:tcPr>
          <w:p>
            <w:pPr>
              <w:spacing w:after="40"/>
            </w:pPr>
            <w:r>
              <w:rPr>
                <w:rFonts w:ascii="Times New Roman" w:hAnsi="Times New Roman" w:eastAsia="Times New Roman"/>
                <w:sz w:val="21"/>
              </w:rPr>
              <w:t>Author’s calculation</w:t>
            </w:r>
          </w:p>
        </w:tc>
      </w:tr>
      <w:tr>
        <w:trPr>
          <w:cantSplit/>
          <w:cantSplit/>
        </w:trPr>
        <w:tc>
          <w:tcPr>
            <w:tcW w:type="dxa" w:w="1080"/>
            <w:vAlign w:val="center"/>
            <w:shd w:fill="F2F5F7"/>
          </w:tcPr>
          <w:p>
            <w:pPr>
              <w:spacing w:after="40"/>
            </w:pPr>
            <w:r>
              <w:rPr>
                <w:rFonts w:ascii="Times New Roman" w:hAnsi="Times New Roman" w:eastAsia="Times New Roman"/>
                <w:sz w:val="21"/>
              </w:rPr>
              <w:t>Gₜ</w:t>
            </w:r>
          </w:p>
        </w:tc>
        <w:tc>
          <w:tcPr>
            <w:tcW w:type="dxa" w:w="4392"/>
            <w:vAlign w:val="center"/>
            <w:shd w:fill="F2F5F7"/>
          </w:tcPr>
          <w:p>
            <w:pPr>
              <w:spacing w:after="40"/>
            </w:pPr>
            <w:r>
              <w:rPr>
                <w:rFonts w:ascii="Times New Roman" w:hAnsi="Times New Roman" w:eastAsia="Times New Roman"/>
                <w:sz w:val="21"/>
              </w:rPr>
              <w:t>Global Supply Chain Pressure Index</w:t>
            </w:r>
          </w:p>
        </w:tc>
        <w:tc>
          <w:tcPr>
            <w:tcW w:type="dxa" w:w="1944"/>
            <w:vAlign w:val="center"/>
            <w:shd w:fill="F2F5F7"/>
          </w:tcPr>
          <w:p>
            <w:pPr>
              <w:spacing w:after="40"/>
            </w:pPr>
            <w:r>
              <w:rPr>
                <w:rFonts w:ascii="Times New Roman" w:hAnsi="Times New Roman" w:eastAsia="Times New Roman"/>
                <w:sz w:val="21"/>
              </w:rPr>
              <w:t>Standard deviations from historical average; annual mean</w:t>
            </w:r>
          </w:p>
        </w:tc>
        <w:tc>
          <w:tcPr>
            <w:tcW w:type="dxa" w:w="1800"/>
            <w:vAlign w:val="center"/>
            <w:shd w:fill="F2F5F7"/>
          </w:tcPr>
          <w:p>
            <w:pPr>
              <w:spacing w:after="40"/>
            </w:pPr>
            <w:r>
              <w:rPr>
                <w:rFonts w:ascii="Times New Roman" w:hAnsi="Times New Roman" w:eastAsia="Times New Roman"/>
                <w:sz w:val="21"/>
              </w:rPr>
              <w:t>New York Fed</w:t>
            </w:r>
          </w:p>
        </w:tc>
      </w:tr>
      <w:tr>
        <w:trPr>
          <w:cantSplit/>
          <w:cantSplit/>
        </w:trPr>
        <w:tc>
          <w:tcPr>
            <w:tcW w:type="dxa" w:w="1080"/>
            <w:vAlign w:val="center"/>
          </w:tcPr>
          <w:p>
            <w:pPr>
              <w:spacing w:after="40"/>
            </w:pPr>
            <w:r>
              <w:rPr>
                <w:rFonts w:ascii="Times New Roman" w:hAnsi="Times New Roman" w:eastAsia="Times New Roman"/>
                <w:sz w:val="21"/>
              </w:rPr>
              <w:t>πₜ₋₁</w:t>
            </w:r>
          </w:p>
        </w:tc>
        <w:tc>
          <w:tcPr>
            <w:tcW w:type="dxa" w:w="4392"/>
            <w:vAlign w:val="center"/>
          </w:tcPr>
          <w:p>
            <w:pPr>
              <w:spacing w:after="40"/>
            </w:pPr>
            <w:r>
              <w:rPr>
                <w:rFonts w:ascii="Times New Roman" w:hAnsi="Times New Roman" w:eastAsia="Times New Roman"/>
                <w:sz w:val="21"/>
              </w:rPr>
              <w:t>Inflation in the preceding year</w:t>
            </w:r>
          </w:p>
        </w:tc>
        <w:tc>
          <w:tcPr>
            <w:tcW w:type="dxa" w:w="1944"/>
            <w:vAlign w:val="center"/>
          </w:tcPr>
          <w:p>
            <w:pPr>
              <w:spacing w:after="40"/>
            </w:pPr>
            <w:r>
              <w:rPr>
                <w:rFonts w:ascii="Times New Roman" w:hAnsi="Times New Roman" w:eastAsia="Times New Roman"/>
                <w:sz w:val="21"/>
              </w:rPr>
              <w:t>Per cent</w:t>
            </w:r>
          </w:p>
        </w:tc>
        <w:tc>
          <w:tcPr>
            <w:tcW w:type="dxa" w:w="1800"/>
            <w:vAlign w:val="center"/>
          </w:tcPr>
          <w:p>
            <w:pPr>
              <w:spacing w:after="40"/>
            </w:pPr>
            <w:r>
              <w:rPr>
                <w:rFonts w:ascii="Times New Roman" w:hAnsi="Times New Roman" w:eastAsia="Times New Roman"/>
                <w:sz w:val="21"/>
              </w:rPr>
              <w:t>WDI/author’s lag</w:t>
            </w:r>
          </w:p>
        </w:tc>
      </w:tr>
      <w:tr>
        <w:trPr>
          <w:cantSplit/>
          <w:cantSplit/>
        </w:trPr>
        <w:tc>
          <w:tcPr>
            <w:tcW w:type="dxa" w:w="1080"/>
            <w:vAlign w:val="center"/>
            <w:shd w:fill="F2F5F7"/>
          </w:tcPr>
          <w:p>
            <w:pPr>
              <w:spacing w:after="40"/>
            </w:pPr>
            <w:r>
              <w:rPr>
                <w:rFonts w:ascii="Times New Roman" w:hAnsi="Times New Roman" w:eastAsia="Times New Roman"/>
                <w:sz w:val="21"/>
              </w:rPr>
              <w:t>uₜ</w:t>
            </w:r>
          </w:p>
        </w:tc>
        <w:tc>
          <w:tcPr>
            <w:tcW w:type="dxa" w:w="4392"/>
            <w:vAlign w:val="center"/>
            <w:shd w:fill="F2F5F7"/>
          </w:tcPr>
          <w:p>
            <w:pPr>
              <w:spacing w:after="40"/>
            </w:pPr>
            <w:r>
              <w:rPr>
                <w:rFonts w:ascii="Times New Roman" w:hAnsi="Times New Roman" w:eastAsia="Times New Roman"/>
                <w:sz w:val="21"/>
              </w:rPr>
              <w:t>Unobserved error term, including omitted domestic and external influences</w:t>
            </w:r>
          </w:p>
        </w:tc>
        <w:tc>
          <w:tcPr>
            <w:tcW w:type="dxa" w:w="1944"/>
            <w:vAlign w:val="center"/>
            <w:shd w:fill="F2F5F7"/>
          </w:tcPr>
          <w:p>
            <w:pPr>
              <w:spacing w:after="40"/>
            </w:pPr>
            <w:r>
              <w:rPr>
                <w:rFonts w:ascii="Times New Roman" w:hAnsi="Times New Roman" w:eastAsia="Times New Roman"/>
                <w:sz w:val="21"/>
              </w:rPr>
              <w:t>Not observed</w:t>
            </w:r>
          </w:p>
        </w:tc>
        <w:tc>
          <w:tcPr>
            <w:tcW w:type="dxa" w:w="1800"/>
            <w:vAlign w:val="center"/>
            <w:shd w:fill="F2F5F7"/>
          </w:tcPr>
          <w:p>
            <w:pPr>
              <w:spacing w:after="40"/>
            </w:pPr>
            <w:r>
              <w:rPr>
                <w:rFonts w:ascii="Times New Roman" w:hAnsi="Times New Roman" w:eastAsia="Times New Roman"/>
                <w:sz w:val="21"/>
              </w:rPr>
              <w:t>Model term</w:t>
            </w:r>
          </w:p>
        </w:tc>
      </w:tr>
    </w:tbl>
    <w:p>
      <w:pPr>
        <w:pStyle w:val="Caption"/>
      </w:pPr>
      <w:r>
        <w:rPr>
          <w:rFonts w:ascii="Times New Roman" w:hAnsi="Times New Roman" w:eastAsia="Times New Roman"/>
          <w:b w:val="0"/>
          <w:i w:val="0"/>
        </w:rPr>
        <w:t>Note: ln denotes the natural logarithm. The estimation sample is 2002–2024 after transformation and lagging.</w:t>
      </w:r>
    </w:p>
    <w:p>
      <w:pPr>
        <w:pStyle w:val="Heading2"/>
      </w:pPr>
      <w:r>
        <w:rPr>
          <w:rFonts w:ascii="Times New Roman" w:hAnsi="Times New Roman" w:eastAsia="Times New Roman"/>
          <w:b w:val="0"/>
          <w:i w:val="0"/>
        </w:rPr>
        <w:t>5.3 Estimation and limitations</w:t>
      </w:r>
    </w:p>
    <w:p>
      <w:pPr/>
      <w:r>
        <w:rPr>
          <w:rFonts w:ascii="Times New Roman" w:hAnsi="Times New Roman" w:eastAsia="Times New Roman"/>
          <w:b w:val="0"/>
          <w:i w:val="0"/>
          <w:sz w:val="26"/>
        </w:rPr>
        <w:t>The coefficients are estimated by OLS using 23 annual observations. Statistical inference uses Newey–West HAC standard errors with one annual lag to reduce sensitivity to heteroskedasticity and first-order serial correlation in the residual covariance matrix. The HAC correction changes the estimated standard errors, not the OLS coefficient estimates. The model is deliberately parsimonious because the sample is small.</w:t>
      </w:r>
    </w:p>
    <w:p>
      <w:pPr/>
      <w:r>
        <w:rPr>
          <w:rFonts w:ascii="Times New Roman" w:hAnsi="Times New Roman" w:eastAsia="Times New Roman"/>
          <w:b w:val="0"/>
          <w:i w:val="0"/>
          <w:sz w:val="26"/>
        </w:rPr>
        <w:t>The specification omits domestic food-supply shocks, administered-price changes, monetary and fiscal conditions, taxes, subsidies and expectations. Contemporaneous explanatory variables may also be endogenous, and a lagged dependent variable can create finite-sample bias. No causal identification strategy is claimed. The results should therefore be read as exploratory historical associations. A later study using monthly or quarterly data could test integration and cointegration formally and, depending on those results, estimate a larger ARDL, VAR or VECM with impulse-response analysis.</w:t>
      </w:r>
    </w:p>
    <w:p>
      <w:pPr>
        <w:pStyle w:val="Heading1"/>
      </w:pPr>
      <w:r>
        <w:rPr>
          <w:rFonts w:ascii="Times New Roman" w:hAnsi="Times New Roman" w:eastAsia="Times New Roman"/>
        </w:rPr>
        <w:t>6. Descriptive statistics and recent trends</w:t>
      </w:r>
    </w:p>
    <w:p>
      <w:r>
        <w:rPr>
          <w:rFonts w:ascii="Times New Roman" w:hAnsi="Times New Roman" w:eastAsia="Times New Roman"/>
          <w:sz w:val="26"/>
        </w:rPr>
        <w:t>Table 2. Selected Bangladesh and global indicators, 2019–2025</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19"/>
        <w:gridCol w:w="1419"/>
        <w:gridCol w:w="1419"/>
        <w:gridCol w:w="1419"/>
        <w:gridCol w:w="1419"/>
        <w:gridCol w:w="1419"/>
        <w:gridCol w:w="1419"/>
      </w:tblGrid>
      <w:tr>
        <w:trPr>
          <w:tblHeader w:val="true"/>
          <w:cantSplit/>
        </w:trPr>
        <w:tc>
          <w:tcPr>
            <w:tcW w:type="dxa" w:w="1419"/>
            <w:shd w:fill="082F3D"/>
            <w:vAlign w:val="center"/>
          </w:tcPr>
          <w:p>
            <w:r>
              <w:rPr>
                <w:rFonts w:ascii="Times New Roman" w:hAnsi="Times New Roman" w:eastAsia="Times New Roman"/>
                <w:b/>
                <w:color w:val="FFFFFF"/>
                <w:sz w:val="21"/>
              </w:rPr>
              <w:t>Year</w:t>
            </w:r>
          </w:p>
        </w:tc>
        <w:tc>
          <w:tcPr>
            <w:tcW w:type="dxa" w:w="1419"/>
            <w:shd w:fill="082F3D"/>
            <w:vAlign w:val="center"/>
          </w:tcPr>
          <w:p>
            <w:r>
              <w:rPr>
                <w:rFonts w:ascii="Times New Roman" w:hAnsi="Times New Roman" w:eastAsia="Times New Roman"/>
                <w:b/>
                <w:color w:val="FFFFFF"/>
                <w:sz w:val="21"/>
              </w:rPr>
              <w:t>Tk/US$</w:t>
            </w:r>
          </w:p>
        </w:tc>
        <w:tc>
          <w:tcPr>
            <w:tcW w:type="dxa" w:w="1419"/>
            <w:shd w:fill="082F3D"/>
            <w:vAlign w:val="center"/>
          </w:tcPr>
          <w:p>
            <w:r>
              <w:rPr>
                <w:rFonts w:ascii="Times New Roman" w:hAnsi="Times New Roman" w:eastAsia="Times New Roman"/>
                <w:b/>
                <w:color w:val="FFFFFF"/>
                <w:sz w:val="21"/>
              </w:rPr>
              <w:t>Inflation %</w:t>
            </w:r>
          </w:p>
        </w:tc>
        <w:tc>
          <w:tcPr>
            <w:tcW w:type="dxa" w:w="1419"/>
            <w:shd w:fill="082F3D"/>
            <w:vAlign w:val="center"/>
          </w:tcPr>
          <w:p>
            <w:r>
              <w:rPr>
                <w:rFonts w:ascii="Times New Roman" w:hAnsi="Times New Roman" w:eastAsia="Times New Roman"/>
                <w:b/>
                <w:color w:val="FFFFFF"/>
                <w:sz w:val="21"/>
              </w:rPr>
              <w:t>Imports US$bn</w:t>
            </w:r>
          </w:p>
        </w:tc>
        <w:tc>
          <w:tcPr>
            <w:tcW w:type="dxa" w:w="1419"/>
            <w:shd w:fill="082F3D"/>
            <w:vAlign w:val="center"/>
          </w:tcPr>
          <w:p>
            <w:r>
              <w:rPr>
                <w:rFonts w:ascii="Times New Roman" w:hAnsi="Times New Roman" w:eastAsia="Times New Roman"/>
                <w:b/>
                <w:color w:val="FFFFFF"/>
                <w:sz w:val="21"/>
              </w:rPr>
              <w:t>Exports US$bn</w:t>
            </w:r>
          </w:p>
        </w:tc>
        <w:tc>
          <w:tcPr>
            <w:tcW w:type="dxa" w:w="1419"/>
            <w:shd w:fill="082F3D"/>
            <w:vAlign w:val="center"/>
          </w:tcPr>
          <w:p>
            <w:r>
              <w:rPr>
                <w:rFonts w:ascii="Times New Roman" w:hAnsi="Times New Roman" w:eastAsia="Times New Roman"/>
                <w:b/>
                <w:color w:val="FFFFFF"/>
                <w:sz w:val="21"/>
              </w:rPr>
              <w:t>Brent $/bbl</w:t>
            </w:r>
          </w:p>
        </w:tc>
        <w:tc>
          <w:tcPr>
            <w:tcW w:type="dxa" w:w="1419"/>
            <w:shd w:fill="082F3D"/>
            <w:vAlign w:val="center"/>
          </w:tcPr>
          <w:p>
            <w:r>
              <w:rPr>
                <w:rFonts w:ascii="Times New Roman" w:hAnsi="Times New Roman" w:eastAsia="Times New Roman"/>
                <w:b/>
                <w:color w:val="FFFFFF"/>
                <w:sz w:val="21"/>
              </w:rPr>
              <w:t>GSCPI</w:t>
            </w:r>
          </w:p>
        </w:tc>
      </w:tr>
      <w:tr>
        <w:trPr>
          <w:cantSplit/>
          <w:cantSplit/>
        </w:trPr>
        <w:tc>
          <w:tcPr>
            <w:tcW w:type="dxa" w:w="1419"/>
          </w:tcPr>
          <w:p>
            <w:r>
              <w:rPr>
                <w:rFonts w:ascii="Times New Roman" w:hAnsi="Times New Roman" w:eastAsia="Times New Roman"/>
                <w:sz w:val="21"/>
              </w:rPr>
              <w:t>2019</w:t>
            </w:r>
          </w:p>
        </w:tc>
        <w:tc>
          <w:tcPr>
            <w:tcW w:type="dxa" w:w="1419"/>
          </w:tcPr>
          <w:p>
            <w:r>
              <w:rPr>
                <w:rFonts w:ascii="Times New Roman" w:hAnsi="Times New Roman" w:eastAsia="Times New Roman"/>
                <w:sz w:val="21"/>
              </w:rPr>
              <w:t>84.5</w:t>
            </w:r>
          </w:p>
        </w:tc>
        <w:tc>
          <w:tcPr>
            <w:tcW w:type="dxa" w:w="1419"/>
          </w:tcPr>
          <w:p>
            <w:r>
              <w:rPr>
                <w:rFonts w:ascii="Times New Roman" w:hAnsi="Times New Roman" w:eastAsia="Times New Roman"/>
                <w:sz w:val="21"/>
              </w:rPr>
              <w:t>5.6</w:t>
            </w:r>
          </w:p>
        </w:tc>
        <w:tc>
          <w:tcPr>
            <w:tcW w:type="dxa" w:w="1419"/>
          </w:tcPr>
          <w:p>
            <w:r>
              <w:rPr>
                <w:rFonts w:ascii="Times New Roman" w:hAnsi="Times New Roman" w:eastAsia="Times New Roman"/>
                <w:sz w:val="21"/>
              </w:rPr>
              <w:t>59.1</w:t>
            </w:r>
          </w:p>
        </w:tc>
        <w:tc>
          <w:tcPr>
            <w:tcW w:type="dxa" w:w="1419"/>
          </w:tcPr>
          <w:p>
            <w:r>
              <w:rPr>
                <w:rFonts w:ascii="Times New Roman" w:hAnsi="Times New Roman" w:eastAsia="Times New Roman"/>
                <w:sz w:val="21"/>
              </w:rPr>
              <w:t>39.3</w:t>
            </w:r>
          </w:p>
        </w:tc>
        <w:tc>
          <w:tcPr>
            <w:tcW w:type="dxa" w:w="1419"/>
          </w:tcPr>
          <w:p>
            <w:r>
              <w:rPr>
                <w:rFonts w:ascii="Times New Roman" w:hAnsi="Times New Roman" w:eastAsia="Times New Roman"/>
                <w:sz w:val="21"/>
              </w:rPr>
              <w:t>64.0</w:t>
            </w:r>
          </w:p>
        </w:tc>
        <w:tc>
          <w:tcPr>
            <w:tcW w:type="dxa" w:w="1419"/>
          </w:tcPr>
          <w:p>
            <w:r>
              <w:rPr>
                <w:rFonts w:ascii="Times New Roman" w:hAnsi="Times New Roman" w:eastAsia="Times New Roman"/>
                <w:sz w:val="21"/>
              </w:rPr>
              <w:t>-0.06</w:t>
            </w:r>
          </w:p>
        </w:tc>
      </w:tr>
      <w:tr>
        <w:trPr>
          <w:cantSplit/>
          <w:cantSplit/>
        </w:trPr>
        <w:tc>
          <w:tcPr>
            <w:tcW w:type="dxa" w:w="1419"/>
            <w:shd w:fill="F4F7F8"/>
          </w:tcPr>
          <w:p>
            <w:r>
              <w:rPr>
                <w:rFonts w:ascii="Times New Roman" w:hAnsi="Times New Roman" w:eastAsia="Times New Roman"/>
                <w:sz w:val="21"/>
              </w:rPr>
              <w:t>2020</w:t>
            </w:r>
          </w:p>
        </w:tc>
        <w:tc>
          <w:tcPr>
            <w:tcW w:type="dxa" w:w="1419"/>
            <w:shd w:fill="F4F7F8"/>
          </w:tcPr>
          <w:p>
            <w:r>
              <w:rPr>
                <w:rFonts w:ascii="Times New Roman" w:hAnsi="Times New Roman" w:eastAsia="Times New Roman"/>
                <w:sz w:val="21"/>
              </w:rPr>
              <w:t>84.9</w:t>
            </w:r>
          </w:p>
        </w:tc>
        <w:tc>
          <w:tcPr>
            <w:tcW w:type="dxa" w:w="1419"/>
            <w:shd w:fill="F4F7F8"/>
          </w:tcPr>
          <w:p>
            <w:r>
              <w:rPr>
                <w:rFonts w:ascii="Times New Roman" w:hAnsi="Times New Roman" w:eastAsia="Times New Roman"/>
                <w:sz w:val="21"/>
              </w:rPr>
              <w:t>5.7</w:t>
            </w:r>
          </w:p>
        </w:tc>
        <w:tc>
          <w:tcPr>
            <w:tcW w:type="dxa" w:w="1419"/>
            <w:shd w:fill="F4F7F8"/>
          </w:tcPr>
          <w:p>
            <w:r>
              <w:rPr>
                <w:rFonts w:ascii="Times New Roman" w:hAnsi="Times New Roman" w:eastAsia="Times New Roman"/>
                <w:sz w:val="21"/>
              </w:rPr>
              <w:t>52.8</w:t>
            </w:r>
          </w:p>
        </w:tc>
        <w:tc>
          <w:tcPr>
            <w:tcW w:type="dxa" w:w="1419"/>
            <w:shd w:fill="F4F7F8"/>
          </w:tcPr>
          <w:p>
            <w:r>
              <w:rPr>
                <w:rFonts w:ascii="Times New Roman" w:hAnsi="Times New Roman" w:eastAsia="Times New Roman"/>
                <w:sz w:val="21"/>
              </w:rPr>
              <w:t>33.6</w:t>
            </w:r>
          </w:p>
        </w:tc>
        <w:tc>
          <w:tcPr>
            <w:tcW w:type="dxa" w:w="1419"/>
            <w:shd w:fill="F4F7F8"/>
          </w:tcPr>
          <w:p>
            <w:r>
              <w:rPr>
                <w:rFonts w:ascii="Times New Roman" w:hAnsi="Times New Roman" w:eastAsia="Times New Roman"/>
                <w:sz w:val="21"/>
              </w:rPr>
              <w:t>42.3</w:t>
            </w:r>
          </w:p>
        </w:tc>
        <w:tc>
          <w:tcPr>
            <w:tcW w:type="dxa" w:w="1419"/>
            <w:shd w:fill="F4F7F8"/>
          </w:tcPr>
          <w:p>
            <w:r>
              <w:rPr>
                <w:rFonts w:ascii="Times New Roman" w:hAnsi="Times New Roman" w:eastAsia="Times New Roman"/>
                <w:sz w:val="21"/>
              </w:rPr>
              <w:t>1.64</w:t>
            </w:r>
          </w:p>
        </w:tc>
      </w:tr>
      <w:tr>
        <w:trPr>
          <w:cantSplit/>
          <w:cantSplit/>
        </w:trPr>
        <w:tc>
          <w:tcPr>
            <w:tcW w:type="dxa" w:w="1419"/>
          </w:tcPr>
          <w:p>
            <w:r>
              <w:rPr>
                <w:rFonts w:ascii="Times New Roman" w:hAnsi="Times New Roman" w:eastAsia="Times New Roman"/>
                <w:sz w:val="21"/>
              </w:rPr>
              <w:t>2021</w:t>
            </w:r>
          </w:p>
        </w:tc>
        <w:tc>
          <w:tcPr>
            <w:tcW w:type="dxa" w:w="1419"/>
          </w:tcPr>
          <w:p>
            <w:r>
              <w:rPr>
                <w:rFonts w:ascii="Times New Roman" w:hAnsi="Times New Roman" w:eastAsia="Times New Roman"/>
                <w:sz w:val="21"/>
              </w:rPr>
              <w:t>85.1</w:t>
            </w:r>
          </w:p>
        </w:tc>
        <w:tc>
          <w:tcPr>
            <w:tcW w:type="dxa" w:w="1419"/>
          </w:tcPr>
          <w:p>
            <w:r>
              <w:rPr>
                <w:rFonts w:ascii="Times New Roman" w:hAnsi="Times New Roman" w:eastAsia="Times New Roman"/>
                <w:sz w:val="21"/>
              </w:rPr>
              <w:t>5.5</w:t>
            </w:r>
          </w:p>
        </w:tc>
        <w:tc>
          <w:tcPr>
            <w:tcW w:type="dxa" w:w="1419"/>
          </w:tcPr>
          <w:p>
            <w:r>
              <w:rPr>
                <w:rFonts w:ascii="Times New Roman" w:hAnsi="Times New Roman" w:eastAsia="Times New Roman"/>
                <w:sz w:val="21"/>
              </w:rPr>
              <w:t>80.4</w:t>
            </w:r>
          </w:p>
        </w:tc>
        <w:tc>
          <w:tcPr>
            <w:tcW w:type="dxa" w:w="1419"/>
          </w:tcPr>
          <w:p>
            <w:r>
              <w:rPr>
                <w:rFonts w:ascii="Times New Roman" w:hAnsi="Times New Roman" w:eastAsia="Times New Roman"/>
                <w:sz w:val="21"/>
              </w:rPr>
              <w:t>44.2</w:t>
            </w:r>
          </w:p>
        </w:tc>
        <w:tc>
          <w:tcPr>
            <w:tcW w:type="dxa" w:w="1419"/>
          </w:tcPr>
          <w:p>
            <w:r>
              <w:rPr>
                <w:rFonts w:ascii="Times New Roman" w:hAnsi="Times New Roman" w:eastAsia="Times New Roman"/>
                <w:sz w:val="21"/>
              </w:rPr>
              <w:t>70.4</w:t>
            </w:r>
          </w:p>
        </w:tc>
        <w:tc>
          <w:tcPr>
            <w:tcW w:type="dxa" w:w="1419"/>
          </w:tcPr>
          <w:p>
            <w:r>
              <w:rPr>
                <w:rFonts w:ascii="Times New Roman" w:hAnsi="Times New Roman" w:eastAsia="Times New Roman"/>
                <w:sz w:val="21"/>
              </w:rPr>
              <w:t>3.04</w:t>
            </w:r>
          </w:p>
        </w:tc>
      </w:tr>
      <w:tr>
        <w:trPr>
          <w:cantSplit/>
          <w:cantSplit/>
        </w:trPr>
        <w:tc>
          <w:tcPr>
            <w:tcW w:type="dxa" w:w="1419"/>
            <w:shd w:fill="F4F7F8"/>
          </w:tcPr>
          <w:p>
            <w:r>
              <w:rPr>
                <w:rFonts w:ascii="Times New Roman" w:hAnsi="Times New Roman" w:eastAsia="Times New Roman"/>
                <w:sz w:val="21"/>
              </w:rPr>
              <w:t>2022</w:t>
            </w:r>
          </w:p>
        </w:tc>
        <w:tc>
          <w:tcPr>
            <w:tcW w:type="dxa" w:w="1419"/>
            <w:shd w:fill="F4F7F8"/>
          </w:tcPr>
          <w:p>
            <w:r>
              <w:rPr>
                <w:rFonts w:ascii="Times New Roman" w:hAnsi="Times New Roman" w:eastAsia="Times New Roman"/>
                <w:sz w:val="21"/>
              </w:rPr>
              <w:t>91.7</w:t>
            </w:r>
          </w:p>
        </w:tc>
        <w:tc>
          <w:tcPr>
            <w:tcW w:type="dxa" w:w="1419"/>
            <w:shd w:fill="F4F7F8"/>
          </w:tcPr>
          <w:p>
            <w:r>
              <w:rPr>
                <w:rFonts w:ascii="Times New Roman" w:hAnsi="Times New Roman" w:eastAsia="Times New Roman"/>
                <w:sz w:val="21"/>
              </w:rPr>
              <w:t>7.7</w:t>
            </w:r>
          </w:p>
        </w:tc>
        <w:tc>
          <w:tcPr>
            <w:tcW w:type="dxa" w:w="1419"/>
            <w:shd w:fill="F4F7F8"/>
          </w:tcPr>
          <w:p>
            <w:r>
              <w:rPr>
                <w:rFonts w:ascii="Times New Roman" w:hAnsi="Times New Roman" w:eastAsia="Times New Roman"/>
                <w:sz w:val="21"/>
              </w:rPr>
              <w:t>88.2</w:t>
            </w:r>
          </w:p>
        </w:tc>
        <w:tc>
          <w:tcPr>
            <w:tcW w:type="dxa" w:w="1419"/>
            <w:shd w:fill="F4F7F8"/>
          </w:tcPr>
          <w:p>
            <w:r>
              <w:rPr>
                <w:rFonts w:ascii="Times New Roman" w:hAnsi="Times New Roman" w:eastAsia="Times New Roman"/>
                <w:sz w:val="21"/>
              </w:rPr>
              <w:t>51.4</w:t>
            </w:r>
          </w:p>
        </w:tc>
        <w:tc>
          <w:tcPr>
            <w:tcW w:type="dxa" w:w="1419"/>
            <w:shd w:fill="F4F7F8"/>
          </w:tcPr>
          <w:p>
            <w:r>
              <w:rPr>
                <w:rFonts w:ascii="Times New Roman" w:hAnsi="Times New Roman" w:eastAsia="Times New Roman"/>
                <w:sz w:val="21"/>
              </w:rPr>
              <w:t>99.8</w:t>
            </w:r>
          </w:p>
        </w:tc>
        <w:tc>
          <w:tcPr>
            <w:tcW w:type="dxa" w:w="1419"/>
            <w:shd w:fill="F4F7F8"/>
          </w:tcPr>
          <w:p>
            <w:r>
              <w:rPr>
                <w:rFonts w:ascii="Times New Roman" w:hAnsi="Times New Roman" w:eastAsia="Times New Roman"/>
                <w:sz w:val="21"/>
              </w:rPr>
              <w:t>2.17</w:t>
            </w:r>
          </w:p>
        </w:tc>
      </w:tr>
      <w:tr>
        <w:trPr>
          <w:cantSplit/>
          <w:cantSplit/>
        </w:trPr>
        <w:tc>
          <w:tcPr>
            <w:tcW w:type="dxa" w:w="1419"/>
          </w:tcPr>
          <w:p>
            <w:r>
              <w:rPr>
                <w:rFonts w:ascii="Times New Roman" w:hAnsi="Times New Roman" w:eastAsia="Times New Roman"/>
                <w:sz w:val="21"/>
              </w:rPr>
              <w:t>2023</w:t>
            </w:r>
          </w:p>
        </w:tc>
        <w:tc>
          <w:tcPr>
            <w:tcW w:type="dxa" w:w="1419"/>
          </w:tcPr>
          <w:p>
            <w:r>
              <w:rPr>
                <w:rFonts w:ascii="Times New Roman" w:hAnsi="Times New Roman" w:eastAsia="Times New Roman"/>
                <w:sz w:val="21"/>
              </w:rPr>
              <w:t>106.3</w:t>
            </w:r>
          </w:p>
        </w:tc>
        <w:tc>
          <w:tcPr>
            <w:tcW w:type="dxa" w:w="1419"/>
          </w:tcPr>
          <w:p>
            <w:r>
              <w:rPr>
                <w:rFonts w:ascii="Times New Roman" w:hAnsi="Times New Roman" w:eastAsia="Times New Roman"/>
                <w:sz w:val="21"/>
              </w:rPr>
              <w:t>9.9</w:t>
            </w:r>
          </w:p>
        </w:tc>
        <w:tc>
          <w:tcPr>
            <w:tcW w:type="dxa" w:w="1419"/>
          </w:tcPr>
          <w:p>
            <w:r>
              <w:rPr>
                <w:rFonts w:ascii="Times New Roman" w:hAnsi="Times New Roman" w:eastAsia="Times New Roman"/>
                <w:sz w:val="21"/>
              </w:rPr>
              <w:t>66.9</w:t>
            </w:r>
          </w:p>
        </w:tc>
        <w:tc>
          <w:tcPr>
            <w:tcW w:type="dxa" w:w="1419"/>
          </w:tcPr>
          <w:p>
            <w:r>
              <w:rPr>
                <w:rFonts w:ascii="Times New Roman" w:hAnsi="Times New Roman" w:eastAsia="Times New Roman"/>
                <w:sz w:val="21"/>
              </w:rPr>
              <w:t>44.2</w:t>
            </w:r>
          </w:p>
        </w:tc>
        <w:tc>
          <w:tcPr>
            <w:tcW w:type="dxa" w:w="1419"/>
          </w:tcPr>
          <w:p>
            <w:r>
              <w:rPr>
                <w:rFonts w:ascii="Times New Roman" w:hAnsi="Times New Roman" w:eastAsia="Times New Roman"/>
                <w:sz w:val="21"/>
              </w:rPr>
              <w:t>82.6</w:t>
            </w:r>
          </w:p>
        </w:tc>
        <w:tc>
          <w:tcPr>
            <w:tcW w:type="dxa" w:w="1419"/>
          </w:tcPr>
          <w:p>
            <w:r>
              <w:rPr>
                <w:rFonts w:ascii="Times New Roman" w:hAnsi="Times New Roman" w:eastAsia="Times New Roman"/>
                <w:sz w:val="21"/>
              </w:rPr>
              <w:t>-0.62</w:t>
            </w:r>
          </w:p>
        </w:tc>
      </w:tr>
      <w:tr>
        <w:trPr>
          <w:cantSplit/>
          <w:cantSplit/>
        </w:trPr>
        <w:tc>
          <w:tcPr>
            <w:tcW w:type="dxa" w:w="1419"/>
            <w:shd w:fill="F4F7F8"/>
          </w:tcPr>
          <w:p>
            <w:r>
              <w:rPr>
                <w:rFonts w:ascii="Times New Roman" w:hAnsi="Times New Roman" w:eastAsia="Times New Roman"/>
                <w:sz w:val="21"/>
              </w:rPr>
              <w:t>2024</w:t>
            </w:r>
          </w:p>
        </w:tc>
        <w:tc>
          <w:tcPr>
            <w:tcW w:type="dxa" w:w="1419"/>
            <w:shd w:fill="F4F7F8"/>
          </w:tcPr>
          <w:p>
            <w:r>
              <w:rPr>
                <w:rFonts w:ascii="Times New Roman" w:hAnsi="Times New Roman" w:eastAsia="Times New Roman"/>
                <w:sz w:val="21"/>
              </w:rPr>
              <w:t>115.6</w:t>
            </w:r>
          </w:p>
        </w:tc>
        <w:tc>
          <w:tcPr>
            <w:tcW w:type="dxa" w:w="1419"/>
            <w:shd w:fill="F4F7F8"/>
          </w:tcPr>
          <w:p>
            <w:r>
              <w:rPr>
                <w:rFonts w:ascii="Times New Roman" w:hAnsi="Times New Roman" w:eastAsia="Times New Roman"/>
                <w:sz w:val="21"/>
              </w:rPr>
              <w:t>10.5</w:t>
            </w:r>
          </w:p>
        </w:tc>
        <w:tc>
          <w:tcPr>
            <w:tcW w:type="dxa" w:w="1419"/>
            <w:shd w:fill="F4F7F8"/>
          </w:tcPr>
          <w:p>
            <w:r>
              <w:rPr>
                <w:rFonts w:ascii="Times New Roman" w:hAnsi="Times New Roman" w:eastAsia="Times New Roman"/>
                <w:sz w:val="21"/>
              </w:rPr>
              <w:t>67.9</w:t>
            </w:r>
          </w:p>
        </w:tc>
        <w:tc>
          <w:tcPr>
            <w:tcW w:type="dxa" w:w="1419"/>
            <w:shd w:fill="F4F7F8"/>
          </w:tcPr>
          <w:p>
            <w:r>
              <w:rPr>
                <w:rFonts w:ascii="Times New Roman" w:hAnsi="Times New Roman" w:eastAsia="Times New Roman"/>
                <w:sz w:val="21"/>
              </w:rPr>
              <w:t>47.2</w:t>
            </w:r>
          </w:p>
        </w:tc>
        <w:tc>
          <w:tcPr>
            <w:tcW w:type="dxa" w:w="1419"/>
            <w:shd w:fill="F4F7F8"/>
          </w:tcPr>
          <w:p>
            <w:r>
              <w:rPr>
                <w:rFonts w:ascii="Times New Roman" w:hAnsi="Times New Roman" w:eastAsia="Times New Roman"/>
                <w:sz w:val="21"/>
              </w:rPr>
              <w:t>80.7</w:t>
            </w:r>
          </w:p>
        </w:tc>
        <w:tc>
          <w:tcPr>
            <w:tcW w:type="dxa" w:w="1419"/>
            <w:shd w:fill="F4F7F8"/>
          </w:tcPr>
          <w:p>
            <w:r>
              <w:rPr>
                <w:rFonts w:ascii="Times New Roman" w:hAnsi="Times New Roman" w:eastAsia="Times New Roman"/>
                <w:sz w:val="21"/>
              </w:rPr>
              <w:t>-0.29</w:t>
            </w:r>
          </w:p>
        </w:tc>
      </w:tr>
      <w:tr>
        <w:trPr>
          <w:cantSplit/>
          <w:cantSplit/>
        </w:trPr>
        <w:tc>
          <w:tcPr>
            <w:tcW w:type="dxa" w:w="1419"/>
          </w:tcPr>
          <w:p>
            <w:r>
              <w:rPr>
                <w:rFonts w:ascii="Times New Roman" w:hAnsi="Times New Roman" w:eastAsia="Times New Roman"/>
                <w:sz w:val="21"/>
              </w:rPr>
              <w:t>2025</w:t>
            </w:r>
          </w:p>
        </w:tc>
        <w:tc>
          <w:tcPr>
            <w:tcW w:type="dxa" w:w="1419"/>
          </w:tcPr>
          <w:p>
            <w:r>
              <w:rPr>
                <w:rFonts w:ascii="Times New Roman" w:hAnsi="Times New Roman" w:eastAsia="Times New Roman"/>
                <w:sz w:val="21"/>
              </w:rPr>
              <w:t>121.9</w:t>
            </w:r>
          </w:p>
        </w:tc>
        <w:tc>
          <w:tcPr>
            <w:tcW w:type="dxa" w:w="1419"/>
          </w:tcPr>
          <w:p>
            <w:r>
              <w:rPr>
                <w:rFonts w:ascii="Times New Roman" w:hAnsi="Times New Roman" w:eastAsia="Times New Roman"/>
                <w:sz w:val="21"/>
              </w:rPr>
              <w:t>8.8</w:t>
            </w:r>
          </w:p>
        </w:tc>
        <w:tc>
          <w:tcPr>
            <w:tcW w:type="dxa" w:w="1419"/>
          </w:tcPr>
          <w:p>
            <w:r>
              <w:rPr>
                <w:rFonts w:ascii="Times New Roman" w:hAnsi="Times New Roman" w:eastAsia="Times New Roman"/>
                <w:sz w:val="21"/>
              </w:rPr>
              <w:t>69.4</w:t>
            </w:r>
          </w:p>
        </w:tc>
        <w:tc>
          <w:tcPr>
            <w:tcW w:type="dxa" w:w="1419"/>
          </w:tcPr>
          <w:p>
            <w:r>
              <w:rPr>
                <w:rFonts w:ascii="Times New Roman" w:hAnsi="Times New Roman" w:eastAsia="Times New Roman"/>
                <w:sz w:val="21"/>
              </w:rPr>
              <w:t>48.2</w:t>
            </w:r>
          </w:p>
        </w:tc>
        <w:tc>
          <w:tcPr>
            <w:tcW w:type="dxa" w:w="1419"/>
          </w:tcPr>
          <w:p>
            <w:r>
              <w:rPr>
                <w:rFonts w:ascii="Times New Roman" w:hAnsi="Times New Roman" w:eastAsia="Times New Roman"/>
                <w:sz w:val="21"/>
              </w:rPr>
              <w:t>—</w:t>
            </w:r>
          </w:p>
        </w:tc>
        <w:tc>
          <w:tcPr>
            <w:tcW w:type="dxa" w:w="1419"/>
          </w:tcPr>
          <w:p>
            <w:r>
              <w:rPr>
                <w:rFonts w:ascii="Times New Roman" w:hAnsi="Times New Roman" w:eastAsia="Times New Roman"/>
                <w:sz w:val="21"/>
              </w:rPr>
              <w:t>0.00</w:t>
            </w:r>
          </w:p>
        </w:tc>
      </w:tr>
    </w:tbl>
    <w:p>
      <w:pPr>
        <w:spacing w:after="0"/>
      </w:pPr>
    </w:p>
    <w:p>
      <w:pPr>
        <w:pStyle w:val="Caption"/>
      </w:pPr>
      <w:r>
        <w:rPr>
          <w:rFonts w:ascii="Times New Roman" w:hAnsi="Times New Roman" w:eastAsia="Times New Roman"/>
        </w:rPr>
        <w:t>Note: Merchandise trade is current US dollars. Pink Sheet in the downloaded file ends in 2024; 2025 cells therefore remain blank where not available. Sources: World Bank (2024a; 2026a), Federal Reserve Bank of New York (2026).</w:t>
      </w:r>
    </w:p>
    <w:p>
      <w:r>
        <w:rPr>
          <w:rFonts w:ascii="Times New Roman" w:hAnsi="Times New Roman" w:eastAsia="Times New Roman"/>
          <w:sz w:val="26"/>
        </w:rPr>
        <w:t>Three changes stand out. First, the annual-average exchange rate was broadly stable through 2021, then depreciated markedly: from Tk85.1 per dollar in 2021 to Tk115.6 in 2024, a rise of roughly 36% in the domestic-currency price of a dollar. Second, inflation accelerated from 5.5% in 2021 to 7.7% in 2022, 9.9% in 2023 and 10.5% in 2024. Third, merchandise imports surged in 2021–2022 before falling in 2023, consistent with both weaker demand and external-financing constraints; exports also declined in 2023 before partially recovering in 2024.</w:t>
      </w:r>
    </w:p>
    <w:p>
      <w:r>
        <w:rPr>
          <w:rFonts w:ascii="Times New Roman" w:hAnsi="Times New Roman" w:eastAsia="Times New Roman"/>
          <w:sz w:val="26"/>
        </w:rPr>
        <w:t>Brent averaged US$99.8 per barrel in 2022, compared with US$42.3 in 2020. The GSCPI peaked on an annual-average basis in 2021 and eased thereafter. This divergence is informative: aggregate global supply-chain pressure can normalise while Bangladesh still faces high domestic prices because exchange-rate depreciation, lagged contracts, financing costs and administered-price adjustments continue to transmit earlier shocks.</w:t>
      </w:r>
    </w:p>
    <w:p>
      <w:pPr>
        <w:jc w:val="center"/>
      </w:pPr>
      <w:r>
        <w:rPr>
          <w:rFonts w:ascii="Times New Roman" w:hAnsi="Times New Roman" w:eastAsia="Times New Roman"/>
          <w:sz w:val="26"/>
        </w:rPr>
        <w:drawing>
          <wp:inline xmlns:a="http://schemas.openxmlformats.org/drawingml/2006/main" xmlns:pic="http://schemas.openxmlformats.org/drawingml/2006/picture">
            <wp:extent cx="5897880" cy="3358514"/>
            <wp:docPr id="2" name="Picture 2"/>
            <wp:cNvGraphicFramePr>
              <a:graphicFrameLocks noChangeAspect="1"/>
            </wp:cNvGraphicFramePr>
            <a:graphic>
              <a:graphicData uri="http://schemas.openxmlformats.org/drawingml/2006/picture">
                <pic:pic>
                  <pic:nvPicPr>
                    <pic:cNvPr id="0" name="oil_fx_index.png"/>
                    <pic:cNvPicPr/>
                  </pic:nvPicPr>
                  <pic:blipFill>
                    <a:blip r:embed="rId12"/>
                    <a:stretch>
                      <a:fillRect/>
                    </a:stretch>
                  </pic:blipFill>
                  <pic:spPr>
                    <a:xfrm>
                      <a:off x="0" y="0"/>
                      <a:ext cx="5897880" cy="3358514"/>
                    </a:xfrm>
                    <a:prstGeom prst="rect"/>
                  </pic:spPr>
                </pic:pic>
              </a:graphicData>
            </a:graphic>
          </wp:inline>
        </w:drawing>
      </w:r>
    </w:p>
    <w:p>
      <w:pPr>
        <w:pStyle w:val="Caption"/>
        <w:jc w:val="center"/>
      </w:pPr>
      <w:r>
        <w:rPr>
          <w:rFonts w:ascii="Times New Roman" w:hAnsi="Times New Roman" w:eastAsia="Times New Roman"/>
        </w:rPr>
        <w:t>Figure 2. Brent oil price and Bangladesh exchange rate, indexed to 2019=100. Sources: World Bank Pink Sheet and World Development Indicators.</w:t>
      </w:r>
    </w:p>
    <w:p>
      <w:pPr>
        <w:jc w:val="center"/>
      </w:pPr>
      <w:r>
        <w:rPr>
          <w:rFonts w:ascii="Times New Roman" w:hAnsi="Times New Roman" w:eastAsia="Times New Roman"/>
          <w:sz w:val="26"/>
        </w:rPr>
        <w:drawing>
          <wp:inline xmlns:a="http://schemas.openxmlformats.org/drawingml/2006/main" xmlns:pic="http://schemas.openxmlformats.org/drawingml/2006/picture">
            <wp:extent cx="5897880" cy="3358514"/>
            <wp:docPr id="3" name="Picture 3"/>
            <wp:cNvGraphicFramePr>
              <a:graphicFrameLocks noChangeAspect="1"/>
            </wp:cNvGraphicFramePr>
            <a:graphic>
              <a:graphicData uri="http://schemas.openxmlformats.org/drawingml/2006/picture">
                <pic:pic>
                  <pic:nvPicPr>
                    <pic:cNvPr id="0" name="inflation_2015_2024.png"/>
                    <pic:cNvPicPr/>
                  </pic:nvPicPr>
                  <pic:blipFill>
                    <a:blip r:embed="rId13"/>
                    <a:stretch>
                      <a:fillRect/>
                    </a:stretch>
                  </pic:blipFill>
                  <pic:spPr>
                    <a:xfrm>
                      <a:off x="0" y="0"/>
                      <a:ext cx="5897880" cy="3358514"/>
                    </a:xfrm>
                    <a:prstGeom prst="rect"/>
                  </pic:spPr>
                </pic:pic>
              </a:graphicData>
            </a:graphic>
          </wp:inline>
        </w:drawing>
      </w:r>
    </w:p>
    <w:p>
      <w:pPr>
        <w:pStyle w:val="Caption"/>
        <w:jc w:val="center"/>
      </w:pPr>
      <w:r>
        <w:rPr>
          <w:rFonts w:ascii="Times New Roman" w:hAnsi="Times New Roman" w:eastAsia="Times New Roman"/>
        </w:rPr>
        <w:t>Figure 3. Bangladesh consumer-price inflation, 2015–2024. Source: World Development Indicators.</w:t>
      </w:r>
    </w:p>
    <w:p>
      <w:pPr>
        <w:jc w:val="center"/>
      </w:pPr>
      <w:r>
        <w:rPr>
          <w:rFonts w:ascii="Times New Roman" w:hAnsi="Times New Roman" w:eastAsia="Times New Roman"/>
          <w:sz w:val="26"/>
        </w:rPr>
        <w:drawing>
          <wp:inline xmlns:a="http://schemas.openxmlformats.org/drawingml/2006/main" xmlns:pic="http://schemas.openxmlformats.org/drawingml/2006/picture">
            <wp:extent cx="5897880" cy="3358514"/>
            <wp:docPr id="4" name="Picture 4"/>
            <wp:cNvGraphicFramePr>
              <a:graphicFrameLocks noChangeAspect="1"/>
            </wp:cNvGraphicFramePr>
            <a:graphic>
              <a:graphicData uri="http://schemas.openxmlformats.org/drawingml/2006/picture">
                <pic:pic>
                  <pic:nvPicPr>
                    <pic:cNvPr id="0" name="merchandise_trade_2015_2024.png"/>
                    <pic:cNvPicPr/>
                  </pic:nvPicPr>
                  <pic:blipFill>
                    <a:blip r:embed="rId14"/>
                    <a:stretch>
                      <a:fillRect/>
                    </a:stretch>
                  </pic:blipFill>
                  <pic:spPr>
                    <a:xfrm>
                      <a:off x="0" y="0"/>
                      <a:ext cx="5897880" cy="3358514"/>
                    </a:xfrm>
                    <a:prstGeom prst="rect"/>
                  </pic:spPr>
                </pic:pic>
              </a:graphicData>
            </a:graphic>
          </wp:inline>
        </w:drawing>
      </w:r>
    </w:p>
    <w:p>
      <w:pPr>
        <w:pStyle w:val="Caption"/>
        <w:jc w:val="center"/>
      </w:pPr>
      <w:r>
        <w:rPr>
          <w:rFonts w:ascii="Times New Roman" w:hAnsi="Times New Roman" w:eastAsia="Times New Roman"/>
        </w:rPr>
        <w:t>Figure 4. Bangladesh merchandise imports and exports, 2015–2024. Source: World Development Indicators.</w:t>
      </w:r>
    </w:p>
    <w:p>
      <w:pPr>
        <w:pStyle w:val="Heading1"/>
      </w:pPr>
      <w:r>
        <w:rPr>
          <w:rFonts w:ascii="Times New Roman" w:hAnsi="Times New Roman" w:eastAsia="Times New Roman"/>
        </w:rPr>
        <w:t>7. Econometric analysis</w:t>
      </w:r>
    </w:p>
    <w:p>
      <w:pPr>
        <w:pStyle w:val="Heading2"/>
      </w:pPr>
      <w:r>
        <w:rPr>
          <w:rFonts w:ascii="Times New Roman" w:hAnsi="Times New Roman" w:eastAsia="Times New Roman"/>
          <w:b w:val="0"/>
          <w:i w:val="0"/>
        </w:rPr>
        <w:t>7.1 Model specification and estimated equation</w:t>
      </w:r>
    </w:p>
    <w:p>
      <w:pPr/>
      <w:r>
        <w:rPr>
          <w:rFonts w:ascii="Times New Roman" w:hAnsi="Times New Roman" w:eastAsia="Times New Roman"/>
          <w:b w:val="0"/>
          <w:i w:val="0"/>
          <w:sz w:val="26"/>
        </w:rPr>
        <w:t>The results come from the dynamic single-equation OLS model defined in Section 5. They do not come from a VAR or VECM. Substituting the estimated coefficients gives:</w:t>
      </w:r>
    </w:p>
    <w:p>
      <w:pPr>
        <w:pStyle w:val="Equation"/>
        <w:spacing w:before="120" w:after="160"/>
        <w:jc w:val="center"/>
      </w:pPr>
      <w:r>
        <w:rPr>
          <w:rFonts w:ascii="Times New Roman" w:hAnsi="Times New Roman" w:eastAsia="Times New Roman"/>
          <w:b w:val="0"/>
          <w:i w:val="0"/>
          <w:sz w:val="26"/>
        </w:rPr>
        <w:t>π̂ₜ = 3.647 + 0.051[100Δln(Eₜ)] + 0.021[100Δln(Bₜ)] − 0.208Gₜ + 0.470πₜ₋₁</w:t>
      </w:r>
    </w:p>
    <w:p>
      <w:pPr/>
      <w:r>
        <w:rPr>
          <w:rFonts w:ascii="Times New Roman" w:hAnsi="Times New Roman" w:eastAsia="Times New Roman"/>
          <w:b w:val="0"/>
          <w:i w:val="0"/>
          <w:sz w:val="26"/>
        </w:rPr>
        <w:t>The equation reports point estimates. Statistical uncertainty must be assessed from the HAC standard errors and p-values in Table 3; a coefficient’s sign alone is not evidence of a reliable effect.</w:t>
      </w:r>
    </w:p>
    <w:p>
      <w:r>
        <w:rPr>
          <w:rFonts w:ascii="Times New Roman" w:hAnsi="Times New Roman" w:eastAsia="Times New Roman"/>
          <w:sz w:val="26"/>
        </w:rPr>
        <w:t>Table 3. Exploratory inflation model, 2002–2024</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987"/>
        <w:gridCol w:w="1987"/>
        <w:gridCol w:w="1987"/>
        <w:gridCol w:w="1987"/>
      </w:tblGrid>
      <w:tr>
        <w:trPr>
          <w:tblHeader w:val="true"/>
          <w:cantSplit/>
        </w:trPr>
        <w:tc>
          <w:tcPr>
            <w:tcW w:type="dxa" w:w="1987"/>
            <w:shd w:fill="082F3D"/>
            <w:vAlign w:val="center"/>
          </w:tcPr>
          <w:p>
            <w:r>
              <w:rPr>
                <w:rFonts w:ascii="Times New Roman" w:hAnsi="Times New Roman" w:eastAsia="Times New Roman"/>
                <w:b/>
                <w:color w:val="FFFFFF"/>
                <w:sz w:val="21"/>
              </w:rPr>
              <w:t>Variable</w:t>
            </w:r>
          </w:p>
        </w:tc>
        <w:tc>
          <w:tcPr>
            <w:tcW w:type="dxa" w:w="1987"/>
            <w:shd w:fill="082F3D"/>
            <w:vAlign w:val="center"/>
          </w:tcPr>
          <w:p>
            <w:r>
              <w:rPr>
                <w:rFonts w:ascii="Times New Roman" w:hAnsi="Times New Roman" w:eastAsia="Times New Roman"/>
                <w:b/>
                <w:color w:val="FFFFFF"/>
                <w:sz w:val="21"/>
              </w:rPr>
              <w:t>Coefficient</w:t>
            </w:r>
          </w:p>
        </w:tc>
        <w:tc>
          <w:tcPr>
            <w:tcW w:type="dxa" w:w="1987"/>
            <w:shd w:fill="082F3D"/>
            <w:vAlign w:val="center"/>
          </w:tcPr>
          <w:p>
            <w:r>
              <w:rPr>
                <w:rFonts w:ascii="Times New Roman" w:hAnsi="Times New Roman" w:eastAsia="Times New Roman"/>
                <w:b/>
                <w:color w:val="FFFFFF"/>
                <w:sz w:val="21"/>
              </w:rPr>
              <w:t>HAC s.e.</w:t>
            </w:r>
          </w:p>
        </w:tc>
        <w:tc>
          <w:tcPr>
            <w:tcW w:type="dxa" w:w="1987"/>
            <w:shd w:fill="082F3D"/>
            <w:vAlign w:val="center"/>
          </w:tcPr>
          <w:p>
            <w:r>
              <w:rPr>
                <w:rFonts w:ascii="Times New Roman" w:hAnsi="Times New Roman" w:eastAsia="Times New Roman"/>
                <w:b/>
                <w:color w:val="FFFFFF"/>
                <w:sz w:val="21"/>
              </w:rPr>
              <w:t>t</w:t>
            </w:r>
          </w:p>
        </w:tc>
        <w:tc>
          <w:tcPr>
            <w:tcW w:type="dxa" w:w="1987"/>
            <w:shd w:fill="082F3D"/>
            <w:vAlign w:val="center"/>
          </w:tcPr>
          <w:p>
            <w:r>
              <w:rPr>
                <w:rFonts w:ascii="Times New Roman" w:hAnsi="Times New Roman" w:eastAsia="Times New Roman"/>
                <w:b/>
                <w:color w:val="FFFFFF"/>
                <w:sz w:val="21"/>
              </w:rPr>
              <w:t>p-value</w:t>
            </w:r>
          </w:p>
        </w:tc>
      </w:tr>
      <w:tr>
        <w:trPr>
          <w:cantSplit/>
          <w:cantSplit/>
        </w:trPr>
        <w:tc>
          <w:tcPr>
            <w:tcW w:type="dxa" w:w="1987"/>
          </w:tcPr>
          <w:p>
            <w:r>
              <w:rPr>
                <w:rFonts w:ascii="Times New Roman" w:hAnsi="Times New Roman" w:eastAsia="Times New Roman"/>
                <w:sz w:val="21"/>
              </w:rPr>
              <w:t>Constant</w:t>
            </w:r>
          </w:p>
        </w:tc>
        <w:tc>
          <w:tcPr>
            <w:tcW w:type="dxa" w:w="1987"/>
          </w:tcPr>
          <w:p>
            <w:r>
              <w:rPr>
                <w:rFonts w:ascii="Times New Roman" w:hAnsi="Times New Roman" w:eastAsia="Times New Roman"/>
                <w:sz w:val="21"/>
              </w:rPr>
              <w:t>3.647</w:t>
            </w:r>
          </w:p>
        </w:tc>
        <w:tc>
          <w:tcPr>
            <w:tcW w:type="dxa" w:w="1987"/>
          </w:tcPr>
          <w:p>
            <w:r>
              <w:rPr>
                <w:rFonts w:ascii="Times New Roman" w:hAnsi="Times New Roman" w:eastAsia="Times New Roman"/>
                <w:sz w:val="21"/>
              </w:rPr>
              <w:t>1.248</w:t>
            </w:r>
          </w:p>
        </w:tc>
        <w:tc>
          <w:tcPr>
            <w:tcW w:type="dxa" w:w="1987"/>
          </w:tcPr>
          <w:p>
            <w:r>
              <w:rPr>
                <w:rFonts w:ascii="Times New Roman" w:hAnsi="Times New Roman" w:eastAsia="Times New Roman"/>
                <w:sz w:val="21"/>
              </w:rPr>
              <w:t>2.92</w:t>
            </w:r>
          </w:p>
        </w:tc>
        <w:tc>
          <w:tcPr>
            <w:tcW w:type="dxa" w:w="1987"/>
          </w:tcPr>
          <w:p>
            <w:r>
              <w:rPr>
                <w:rFonts w:ascii="Times New Roman" w:hAnsi="Times New Roman" w:eastAsia="Times New Roman"/>
                <w:sz w:val="21"/>
              </w:rPr>
              <w:t>0.009</w:t>
            </w:r>
          </w:p>
        </w:tc>
      </w:tr>
      <w:tr>
        <w:trPr>
          <w:cantSplit/>
          <w:cantSplit/>
        </w:trPr>
        <w:tc>
          <w:tcPr>
            <w:tcW w:type="dxa" w:w="1987"/>
            <w:shd w:fill="F4F7F8"/>
          </w:tcPr>
          <w:p>
            <w:r>
              <w:rPr>
                <w:rFonts w:ascii="Times New Roman" w:hAnsi="Times New Roman" w:eastAsia="Times New Roman"/>
                <w:sz w:val="21"/>
              </w:rPr>
              <w:t>Δ ln(Tk/US$), %</w:t>
            </w:r>
          </w:p>
        </w:tc>
        <w:tc>
          <w:tcPr>
            <w:tcW w:type="dxa" w:w="1987"/>
            <w:shd w:fill="F4F7F8"/>
          </w:tcPr>
          <w:p>
            <w:r>
              <w:rPr>
                <w:rFonts w:ascii="Times New Roman" w:hAnsi="Times New Roman" w:eastAsia="Times New Roman"/>
                <w:sz w:val="21"/>
              </w:rPr>
              <w:t>0.051</w:t>
            </w:r>
          </w:p>
        </w:tc>
        <w:tc>
          <w:tcPr>
            <w:tcW w:type="dxa" w:w="1987"/>
            <w:shd w:fill="F4F7F8"/>
          </w:tcPr>
          <w:p>
            <w:r>
              <w:rPr>
                <w:rFonts w:ascii="Times New Roman" w:hAnsi="Times New Roman" w:eastAsia="Times New Roman"/>
                <w:sz w:val="21"/>
              </w:rPr>
              <w:t>0.100</w:t>
            </w:r>
          </w:p>
        </w:tc>
        <w:tc>
          <w:tcPr>
            <w:tcW w:type="dxa" w:w="1987"/>
            <w:shd w:fill="F4F7F8"/>
          </w:tcPr>
          <w:p>
            <w:r>
              <w:rPr>
                <w:rFonts w:ascii="Times New Roman" w:hAnsi="Times New Roman" w:eastAsia="Times New Roman"/>
                <w:sz w:val="21"/>
              </w:rPr>
              <w:t>0.51</w:t>
            </w:r>
          </w:p>
        </w:tc>
        <w:tc>
          <w:tcPr>
            <w:tcW w:type="dxa" w:w="1987"/>
            <w:shd w:fill="F4F7F8"/>
          </w:tcPr>
          <w:p>
            <w:r>
              <w:rPr>
                <w:rFonts w:ascii="Times New Roman" w:hAnsi="Times New Roman" w:eastAsia="Times New Roman"/>
                <w:sz w:val="21"/>
              </w:rPr>
              <w:t>0.615</w:t>
            </w:r>
          </w:p>
        </w:tc>
      </w:tr>
      <w:tr>
        <w:trPr>
          <w:cantSplit/>
          <w:cantSplit/>
        </w:trPr>
        <w:tc>
          <w:tcPr>
            <w:tcW w:type="dxa" w:w="1987"/>
          </w:tcPr>
          <w:p>
            <w:r>
              <w:rPr>
                <w:rFonts w:ascii="Times New Roman" w:hAnsi="Times New Roman" w:eastAsia="Times New Roman"/>
                <w:sz w:val="21"/>
              </w:rPr>
              <w:t>Δ ln(Brent), %</w:t>
            </w:r>
          </w:p>
        </w:tc>
        <w:tc>
          <w:tcPr>
            <w:tcW w:type="dxa" w:w="1987"/>
          </w:tcPr>
          <w:p>
            <w:r>
              <w:rPr>
                <w:rFonts w:ascii="Times New Roman" w:hAnsi="Times New Roman" w:eastAsia="Times New Roman"/>
                <w:sz w:val="21"/>
              </w:rPr>
              <w:t>0.021</w:t>
            </w:r>
          </w:p>
        </w:tc>
        <w:tc>
          <w:tcPr>
            <w:tcW w:type="dxa" w:w="1987"/>
          </w:tcPr>
          <w:p>
            <w:r>
              <w:rPr>
                <w:rFonts w:ascii="Times New Roman" w:hAnsi="Times New Roman" w:eastAsia="Times New Roman"/>
                <w:sz w:val="21"/>
              </w:rPr>
              <w:t>0.011</w:t>
            </w:r>
          </w:p>
        </w:tc>
        <w:tc>
          <w:tcPr>
            <w:tcW w:type="dxa" w:w="1987"/>
          </w:tcPr>
          <w:p>
            <w:r>
              <w:rPr>
                <w:rFonts w:ascii="Times New Roman" w:hAnsi="Times New Roman" w:eastAsia="Times New Roman"/>
                <w:sz w:val="21"/>
              </w:rPr>
              <w:t>1.99</w:t>
            </w:r>
          </w:p>
        </w:tc>
        <w:tc>
          <w:tcPr>
            <w:tcW w:type="dxa" w:w="1987"/>
          </w:tcPr>
          <w:p>
            <w:r>
              <w:rPr>
                <w:rFonts w:ascii="Times New Roman" w:hAnsi="Times New Roman" w:eastAsia="Times New Roman"/>
                <w:sz w:val="21"/>
              </w:rPr>
              <w:t>0.063</w:t>
            </w:r>
          </w:p>
        </w:tc>
      </w:tr>
      <w:tr>
        <w:trPr>
          <w:cantSplit/>
          <w:cantSplit/>
        </w:trPr>
        <w:tc>
          <w:tcPr>
            <w:tcW w:type="dxa" w:w="1987"/>
            <w:shd w:fill="F4F7F8"/>
          </w:tcPr>
          <w:p>
            <w:r>
              <w:rPr>
                <w:rFonts w:ascii="Times New Roman" w:hAnsi="Times New Roman" w:eastAsia="Times New Roman"/>
                <w:sz w:val="21"/>
              </w:rPr>
              <w:t>GSCPI, annual mean</w:t>
            </w:r>
          </w:p>
        </w:tc>
        <w:tc>
          <w:tcPr>
            <w:tcW w:type="dxa" w:w="1987"/>
            <w:shd w:fill="F4F7F8"/>
          </w:tcPr>
          <w:p>
            <w:r>
              <w:rPr>
                <w:rFonts w:ascii="Times New Roman" w:hAnsi="Times New Roman" w:eastAsia="Times New Roman"/>
                <w:sz w:val="21"/>
              </w:rPr>
              <w:t>-0.208</w:t>
            </w:r>
          </w:p>
        </w:tc>
        <w:tc>
          <w:tcPr>
            <w:tcW w:type="dxa" w:w="1987"/>
            <w:shd w:fill="F4F7F8"/>
          </w:tcPr>
          <w:p>
            <w:r>
              <w:rPr>
                <w:rFonts w:ascii="Times New Roman" w:hAnsi="Times New Roman" w:eastAsia="Times New Roman"/>
                <w:sz w:val="21"/>
              </w:rPr>
              <w:t>0.198</w:t>
            </w:r>
          </w:p>
        </w:tc>
        <w:tc>
          <w:tcPr>
            <w:tcW w:type="dxa" w:w="1987"/>
            <w:shd w:fill="F4F7F8"/>
          </w:tcPr>
          <w:p>
            <w:r>
              <w:rPr>
                <w:rFonts w:ascii="Times New Roman" w:hAnsi="Times New Roman" w:eastAsia="Times New Roman"/>
                <w:sz w:val="21"/>
              </w:rPr>
              <w:t>-1.05</w:t>
            </w:r>
          </w:p>
        </w:tc>
        <w:tc>
          <w:tcPr>
            <w:tcW w:type="dxa" w:w="1987"/>
            <w:shd w:fill="F4F7F8"/>
          </w:tcPr>
          <w:p>
            <w:r>
              <w:rPr>
                <w:rFonts w:ascii="Times New Roman" w:hAnsi="Times New Roman" w:eastAsia="Times New Roman"/>
                <w:sz w:val="21"/>
              </w:rPr>
              <w:t>0.307</w:t>
            </w:r>
          </w:p>
        </w:tc>
      </w:tr>
      <w:tr>
        <w:trPr>
          <w:cantSplit/>
          <w:cantSplit/>
        </w:trPr>
        <w:tc>
          <w:tcPr>
            <w:tcW w:type="dxa" w:w="1987"/>
          </w:tcPr>
          <w:p>
            <w:r>
              <w:rPr>
                <w:rFonts w:ascii="Times New Roman" w:hAnsi="Times New Roman" w:eastAsia="Times New Roman"/>
                <w:sz w:val="21"/>
              </w:rPr>
              <w:t>Inflation, lagged</w:t>
            </w:r>
          </w:p>
        </w:tc>
        <w:tc>
          <w:tcPr>
            <w:tcW w:type="dxa" w:w="1987"/>
          </w:tcPr>
          <w:p>
            <w:r>
              <w:rPr>
                <w:rFonts w:ascii="Times New Roman" w:hAnsi="Times New Roman" w:eastAsia="Times New Roman"/>
                <w:sz w:val="21"/>
              </w:rPr>
              <w:t>0.470</w:t>
            </w:r>
          </w:p>
        </w:tc>
        <w:tc>
          <w:tcPr>
            <w:tcW w:type="dxa" w:w="1987"/>
          </w:tcPr>
          <w:p>
            <w:r>
              <w:rPr>
                <w:rFonts w:ascii="Times New Roman" w:hAnsi="Times New Roman" w:eastAsia="Times New Roman"/>
                <w:sz w:val="21"/>
              </w:rPr>
              <w:t>0.185</w:t>
            </w:r>
          </w:p>
        </w:tc>
        <w:tc>
          <w:tcPr>
            <w:tcW w:type="dxa" w:w="1987"/>
          </w:tcPr>
          <w:p>
            <w:r>
              <w:rPr>
                <w:rFonts w:ascii="Times New Roman" w:hAnsi="Times New Roman" w:eastAsia="Times New Roman"/>
                <w:sz w:val="21"/>
              </w:rPr>
              <w:t>2.54</w:t>
            </w:r>
          </w:p>
        </w:tc>
        <w:tc>
          <w:tcPr>
            <w:tcW w:type="dxa" w:w="1987"/>
          </w:tcPr>
          <w:p>
            <w:r>
              <w:rPr>
                <w:rFonts w:ascii="Times New Roman" w:hAnsi="Times New Roman" w:eastAsia="Times New Roman"/>
                <w:sz w:val="21"/>
              </w:rPr>
              <w:t>0.021</w:t>
            </w:r>
          </w:p>
        </w:tc>
      </w:tr>
    </w:tbl>
    <w:p>
      <w:pPr>
        <w:spacing w:after="0"/>
      </w:pPr>
    </w:p>
    <w:p>
      <w:pPr>
        <w:pStyle w:val="Caption"/>
      </w:pPr>
      <w:r>
        <w:rPr>
          <w:rFonts w:ascii="Times New Roman" w:hAnsi="Times New Roman" w:eastAsia="Times New Roman"/>
        </w:rPr>
        <w:t>N=23; R²=0.378; adjusted R²=0.239. Newey–West standard errors with one lag. Dependent variable: annual CPI inflation (%). Source: author’s estimates.</w:t>
      </w:r>
    </w:p>
    <w:p>
      <w:r>
        <w:rPr>
          <w:rFonts w:ascii="Times New Roman" w:hAnsi="Times New Roman" w:eastAsia="Times New Roman"/>
          <w:sz w:val="26"/>
        </w:rPr>
        <w:t>The Brent coefficient is 0.021: a 10% annual rise in Brent is associated with about 0.21 percentage points higher inflation, holding the other included factors constant. Its p-value is 0.063, so it is statistically significant at the 10% level but not at the conventional 5% level. Lagged inflation is positive and statistically significant, consistent with persistence. The exchange-rate coefficient is positive but imprecise. The GSCPI coefficient is negative and statistically insignificant after controlling for the other variables, an outcome that may reflect timing, multicollinearity, annual averaging and Bangladesh-specific bottlenecks not captured by the global index.</w:t>
      </w:r>
    </w:p>
    <w:p>
      <w:r>
        <w:rPr>
          <w:rFonts w:ascii="Times New Roman" w:hAnsi="Times New Roman" w:eastAsia="Times New Roman"/>
          <w:sz w:val="26"/>
        </w:rPr>
        <w:t>The model explains about 38% of annual inflation variation. It should not be used to assert that oil alone caused a particular retail-price increase or to forecast the effect of the September 2026 shock. Its value is narrower: it supports the proposition that external energy prices and domestic inflation co-move after accounting for persistence, while reminding the reader that the magnitude and timing of pass-through depend on omitted domestic institutions and shocks.</w:t>
      </w:r>
    </w:p>
    <w:p>
      <w:pPr>
        <w:pStyle w:val="Heading1"/>
      </w:pPr>
      <w:r>
        <w:rPr>
          <w:rFonts w:ascii="Times New Roman" w:hAnsi="Times New Roman" w:eastAsia="Times New Roman"/>
        </w:rPr>
        <w:t>8. Discussion: effects on domestic prices and exports</w:t>
      </w:r>
    </w:p>
    <w:p>
      <w:pPr>
        <w:pStyle w:val="Heading2"/>
      </w:pPr>
      <w:r>
        <w:rPr>
          <w:rFonts w:ascii="Times New Roman" w:hAnsi="Times New Roman" w:eastAsia="Times New Roman"/>
        </w:rPr>
        <w:t>8.1 Domestic prices and household welfare</w:t>
      </w:r>
    </w:p>
    <w:p>
      <w:r>
        <w:rPr>
          <w:rFonts w:ascii="Times New Roman" w:hAnsi="Times New Roman" w:eastAsia="Times New Roman"/>
          <w:sz w:val="26"/>
        </w:rPr>
        <w:t>Fuel is both a final consumption item and a general input. A diesel increase affects buses, trucks, irrigation pumps, generators and distribution margins. LNG and other energy costs affect power generation and industrial production. Fertiliser and transport costs reach food prices with a lag, while higher food prices disproportionately burden lower-income households. A uniform subsidy may restrain the visible price temporarily but can create fiscal losses, encourage inefficient use and postpone adjustment. Abrupt catch-up increases then intensify the shock.</w:t>
      </w:r>
    </w:p>
    <w:p>
      <w:r>
        <w:rPr>
          <w:rFonts w:ascii="Times New Roman" w:hAnsi="Times New Roman" w:eastAsia="Times New Roman"/>
          <w:sz w:val="26"/>
        </w:rPr>
        <w:t>Exchange-rate depreciation broadens the pass-through beyond energy. Edible oil, wheat, pulses, chemicals, pharmaceuticals inputs, machinery and spare parts become more expensive in taka. Import financing can add another layer: a longer voyage ties up credit, higher interest rates raise carrying cost, and scarce dollars can create an informal premium or delayed letters of credit. Retail prices also depend on domestic competition, stocks and enforcement; therefore a global shock can be amplified by weak market information or opportunistic margins.</w:t>
      </w:r>
    </w:p>
    <w:p>
      <w:pPr>
        <w:pStyle w:val="Heading2"/>
      </w:pPr>
      <w:r>
        <w:rPr>
          <w:rFonts w:ascii="Times New Roman" w:hAnsi="Times New Roman" w:eastAsia="Times New Roman"/>
        </w:rPr>
        <w:t>8.2 Export competitiveness</w:t>
      </w:r>
    </w:p>
    <w:p>
      <w:r>
        <w:rPr>
          <w:rFonts w:ascii="Times New Roman" w:hAnsi="Times New Roman" w:eastAsia="Times New Roman"/>
          <w:sz w:val="26"/>
        </w:rPr>
        <w:t>The garment sector and other exporters may gain accounting revenue from depreciation, but imported-input and energy costs offset part of that gain. Firms operating on thin margins or fixed-price contracts cannot immediately pass higher costs to buyers. Power interruptions, generator fuel and delayed raw materials reduce productivity and reliability. Small suppliers generally face higher finance costs and weaker bargaining power than large firms.</w:t>
      </w:r>
    </w:p>
    <w:p>
      <w:r>
        <w:rPr>
          <w:rFonts w:ascii="Times New Roman" w:hAnsi="Times New Roman" w:eastAsia="Times New Roman"/>
          <w:sz w:val="26"/>
        </w:rPr>
        <w:t>The export response is therefore a balance-sheet and logistics issue as much as a price issue. Stable access to energy, predictable customs release, reliable port operations and working-capital finance may matter more than a temporary exchange-rate advantage. Diversification into less energy-intensive and higher-value products improves resilience, but it requires standards, skills, technology and market access rather than exchange-rate adjustment alone.</w:t>
      </w:r>
    </w:p>
    <w:p>
      <w:pPr>
        <w:pStyle w:val="Heading1"/>
      </w:pPr>
      <w:r>
        <w:rPr>
          <w:rFonts w:ascii="Times New Roman" w:hAnsi="Times New Roman" w:eastAsia="Times New Roman"/>
        </w:rPr>
        <w:t>9. Recommendations</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cantSplit/>
        </w:trPr>
        <w:tc>
          <w:tcPr>
            <w:tcW w:type="dxa" w:w="4968"/>
            <w:shd w:fill="082F3D"/>
            <w:vAlign w:val="center"/>
          </w:tcPr>
          <w:p>
            <w:r>
              <w:rPr>
                <w:rFonts w:ascii="Times New Roman" w:hAnsi="Times New Roman" w:eastAsia="Times New Roman"/>
                <w:b/>
                <w:color w:val="FFFFFF"/>
                <w:sz w:val="21"/>
              </w:rPr>
              <w:t>Priority</w:t>
            </w:r>
          </w:p>
        </w:tc>
        <w:tc>
          <w:tcPr>
            <w:tcW w:type="dxa" w:w="4968"/>
            <w:shd w:fill="082F3D"/>
            <w:vAlign w:val="center"/>
          </w:tcPr>
          <w:p>
            <w:r>
              <w:rPr>
                <w:rFonts w:ascii="Times New Roman" w:hAnsi="Times New Roman" w:eastAsia="Times New Roman"/>
                <w:b/>
                <w:color w:val="FFFFFF"/>
                <w:sz w:val="21"/>
              </w:rPr>
              <w:t>Recommended action</w:t>
            </w:r>
          </w:p>
        </w:tc>
      </w:tr>
      <w:tr>
        <w:trPr>
          <w:cantSplit/>
          <w:cantSplit/>
        </w:trPr>
        <w:tc>
          <w:tcPr>
            <w:tcW w:type="dxa" w:w="4968"/>
          </w:tcPr>
          <w:p>
            <w:r>
              <w:rPr>
                <w:rFonts w:ascii="Times New Roman" w:hAnsi="Times New Roman" w:eastAsia="Times New Roman"/>
                <w:sz w:val="21"/>
              </w:rPr>
              <w:t>Immediate monitoring</w:t>
            </w:r>
          </w:p>
        </w:tc>
        <w:tc>
          <w:tcPr>
            <w:tcW w:type="dxa" w:w="4968"/>
          </w:tcPr>
          <w:p>
            <w:r>
              <w:rPr>
                <w:rFonts w:ascii="Times New Roman" w:hAnsi="Times New Roman" w:eastAsia="Times New Roman"/>
                <w:sz w:val="21"/>
              </w:rPr>
              <w:t>Publish a weekly dashboard of fuel benchmarks, LNG, freight, insurance, exchange rates, letters of credit and port dwell times; distinguish global cost from domestic tax and margin.</w:t>
            </w:r>
          </w:p>
        </w:tc>
      </w:tr>
      <w:tr>
        <w:trPr>
          <w:cantSplit/>
          <w:cantSplit/>
        </w:trPr>
        <w:tc>
          <w:tcPr>
            <w:tcW w:type="dxa" w:w="4968"/>
            <w:shd w:fill="F4F7F8"/>
          </w:tcPr>
          <w:p>
            <w:r>
              <w:rPr>
                <w:rFonts w:ascii="Times New Roman" w:hAnsi="Times New Roman" w:eastAsia="Times New Roman"/>
                <w:sz w:val="21"/>
              </w:rPr>
              <w:t>Price adjustment</w:t>
            </w:r>
          </w:p>
        </w:tc>
        <w:tc>
          <w:tcPr>
            <w:tcW w:type="dxa" w:w="4968"/>
            <w:shd w:fill="F4F7F8"/>
          </w:tcPr>
          <w:p>
            <w:r>
              <w:rPr>
                <w:rFonts w:ascii="Times New Roman" w:hAnsi="Times New Roman" w:eastAsia="Times New Roman"/>
                <w:sz w:val="21"/>
              </w:rPr>
              <w:t>Use a transparent, rules-based fuel formula with a smoothing band; publish calculations and avoid long freezes followed by large jumps.</w:t>
            </w:r>
          </w:p>
        </w:tc>
      </w:tr>
      <w:tr>
        <w:trPr>
          <w:cantSplit/>
          <w:cantSplit/>
        </w:trPr>
        <w:tc>
          <w:tcPr>
            <w:tcW w:type="dxa" w:w="4968"/>
          </w:tcPr>
          <w:p>
            <w:r>
              <w:rPr>
                <w:rFonts w:ascii="Times New Roman" w:hAnsi="Times New Roman" w:eastAsia="Times New Roman"/>
                <w:sz w:val="21"/>
              </w:rPr>
              <w:t>Targeted protection</w:t>
            </w:r>
          </w:p>
        </w:tc>
        <w:tc>
          <w:tcPr>
            <w:tcW w:type="dxa" w:w="4968"/>
          </w:tcPr>
          <w:p>
            <w:r>
              <w:rPr>
                <w:rFonts w:ascii="Times New Roman" w:hAnsi="Times New Roman" w:eastAsia="Times New Roman"/>
                <w:sz w:val="21"/>
              </w:rPr>
              <w:t>Replace broad price suppression with temporary, well-targeted transfers or transport support for vulnerable households.</w:t>
            </w:r>
          </w:p>
        </w:tc>
      </w:tr>
      <w:tr>
        <w:trPr>
          <w:cantSplit/>
          <w:cantSplit/>
        </w:trPr>
        <w:tc>
          <w:tcPr>
            <w:tcW w:type="dxa" w:w="4968"/>
            <w:shd w:fill="F4F7F8"/>
          </w:tcPr>
          <w:p>
            <w:r>
              <w:rPr>
                <w:rFonts w:ascii="Times New Roman" w:hAnsi="Times New Roman" w:eastAsia="Times New Roman"/>
                <w:sz w:val="21"/>
              </w:rPr>
              <w:t>Trade finance</w:t>
            </w:r>
          </w:p>
        </w:tc>
        <w:tc>
          <w:tcPr>
            <w:tcW w:type="dxa" w:w="4968"/>
            <w:shd w:fill="F4F7F8"/>
          </w:tcPr>
          <w:p>
            <w:r>
              <w:rPr>
                <w:rFonts w:ascii="Times New Roman" w:hAnsi="Times New Roman" w:eastAsia="Times New Roman"/>
                <w:sz w:val="21"/>
              </w:rPr>
              <w:t>Prioritise transparent access to foreign exchange and working capital for essential inputs and viable exporters; avoid opaque rationing.</w:t>
            </w:r>
          </w:p>
        </w:tc>
      </w:tr>
      <w:tr>
        <w:trPr>
          <w:cantSplit/>
          <w:cantSplit/>
        </w:trPr>
        <w:tc>
          <w:tcPr>
            <w:tcW w:type="dxa" w:w="4968"/>
          </w:tcPr>
          <w:p>
            <w:r>
              <w:rPr>
                <w:rFonts w:ascii="Times New Roman" w:hAnsi="Times New Roman" w:eastAsia="Times New Roman"/>
                <w:sz w:val="21"/>
              </w:rPr>
              <w:t>Supply resilience</w:t>
            </w:r>
          </w:p>
        </w:tc>
        <w:tc>
          <w:tcPr>
            <w:tcW w:type="dxa" w:w="4968"/>
          </w:tcPr>
          <w:p>
            <w:r>
              <w:rPr>
                <w:rFonts w:ascii="Times New Roman" w:hAnsi="Times New Roman" w:eastAsia="Times New Roman"/>
                <w:sz w:val="21"/>
              </w:rPr>
              <w:t>Diversify suppliers and routes, establish risk-based minimum stocks for critical fuel, food and fertiliser, and use framework contracts rather than a single origin.</w:t>
            </w:r>
          </w:p>
        </w:tc>
      </w:tr>
      <w:tr>
        <w:trPr>
          <w:cantSplit/>
          <w:cantSplit/>
        </w:trPr>
        <w:tc>
          <w:tcPr>
            <w:tcW w:type="dxa" w:w="4968"/>
            <w:shd w:fill="F4F7F8"/>
          </w:tcPr>
          <w:p>
            <w:r>
              <w:rPr>
                <w:rFonts w:ascii="Times New Roman" w:hAnsi="Times New Roman" w:eastAsia="Times New Roman"/>
                <w:sz w:val="21"/>
              </w:rPr>
              <w:t>Ports and customs</w:t>
            </w:r>
          </w:p>
        </w:tc>
        <w:tc>
          <w:tcPr>
            <w:tcW w:type="dxa" w:w="4968"/>
            <w:shd w:fill="F4F7F8"/>
          </w:tcPr>
          <w:p>
            <w:r>
              <w:rPr>
                <w:rFonts w:ascii="Times New Roman" w:hAnsi="Times New Roman" w:eastAsia="Times New Roman"/>
                <w:sz w:val="21"/>
              </w:rPr>
              <w:t>Extend electronic documentation, risk-based inspection and coordinated port operations to reduce dwell time and inventory cost.</w:t>
            </w:r>
          </w:p>
        </w:tc>
      </w:tr>
      <w:tr>
        <w:trPr>
          <w:cantSplit/>
          <w:cantSplit/>
        </w:trPr>
        <w:tc>
          <w:tcPr>
            <w:tcW w:type="dxa" w:w="4968"/>
          </w:tcPr>
          <w:p>
            <w:r>
              <w:rPr>
                <w:rFonts w:ascii="Times New Roman" w:hAnsi="Times New Roman" w:eastAsia="Times New Roman"/>
                <w:sz w:val="21"/>
              </w:rPr>
              <w:t>Export support</w:t>
            </w:r>
          </w:p>
        </w:tc>
        <w:tc>
          <w:tcPr>
            <w:tcW w:type="dxa" w:w="4968"/>
          </w:tcPr>
          <w:p>
            <w:r>
              <w:rPr>
                <w:rFonts w:ascii="Times New Roman" w:hAnsi="Times New Roman" w:eastAsia="Times New Roman"/>
                <w:sz w:val="21"/>
              </w:rPr>
              <w:t>Offer time-bound efficiency finance for energy-saving machinery, rooftop solar, waste-heat recovery and logistics digitalisation; do not subsidise inefficient fuel use indefinitely.</w:t>
            </w:r>
          </w:p>
        </w:tc>
      </w:tr>
      <w:tr>
        <w:trPr>
          <w:cantSplit/>
          <w:cantSplit/>
        </w:trPr>
        <w:tc>
          <w:tcPr>
            <w:tcW w:type="dxa" w:w="4968"/>
            <w:shd w:fill="F4F7F8"/>
          </w:tcPr>
          <w:p>
            <w:r>
              <w:rPr>
                <w:rFonts w:ascii="Times New Roman" w:hAnsi="Times New Roman" w:eastAsia="Times New Roman"/>
                <w:sz w:val="21"/>
              </w:rPr>
              <w:t>Risk management</w:t>
            </w:r>
          </w:p>
        </w:tc>
        <w:tc>
          <w:tcPr>
            <w:tcW w:type="dxa" w:w="4968"/>
            <w:shd w:fill="F4F7F8"/>
          </w:tcPr>
          <w:p>
            <w:r>
              <w:rPr>
                <w:rFonts w:ascii="Times New Roman" w:hAnsi="Times New Roman" w:eastAsia="Times New Roman"/>
                <w:sz w:val="21"/>
              </w:rPr>
              <w:t>Develop institutional capability for commodity hedging and freight contracting under clear governance, exposure limits and disclosure.</w:t>
            </w:r>
          </w:p>
        </w:tc>
      </w:tr>
      <w:tr>
        <w:trPr>
          <w:cantSplit/>
          <w:cantSplit/>
        </w:trPr>
        <w:tc>
          <w:tcPr>
            <w:tcW w:type="dxa" w:w="4968"/>
          </w:tcPr>
          <w:p>
            <w:r>
              <w:rPr>
                <w:rFonts w:ascii="Times New Roman" w:hAnsi="Times New Roman" w:eastAsia="Times New Roman"/>
                <w:sz w:val="21"/>
              </w:rPr>
              <w:t>Data</w:t>
            </w:r>
          </w:p>
        </w:tc>
        <w:tc>
          <w:tcPr>
            <w:tcW w:type="dxa" w:w="4968"/>
          </w:tcPr>
          <w:p>
            <w:r>
              <w:rPr>
                <w:rFonts w:ascii="Times New Roman" w:hAnsi="Times New Roman" w:eastAsia="Times New Roman"/>
                <w:sz w:val="21"/>
              </w:rPr>
              <w:t>Improve timely publication of detailed import values, volumes, freight and unit values; reconcile customs, central-bank and port data.</w:t>
            </w:r>
          </w:p>
        </w:tc>
      </w:tr>
    </w:tbl>
    <w:p>
      <w:pPr>
        <w:spacing w:after="0"/>
      </w:pPr>
    </w:p>
    <w:p>
      <w:r>
        <w:rPr>
          <w:rFonts w:ascii="Times New Roman" w:hAnsi="Times New Roman" w:eastAsia="Times New Roman"/>
          <w:sz w:val="26"/>
        </w:rPr>
        <w:t>Sequencing matters. The first step is credible information: policy cannot distinguish a temporary freight spike from a persistent energy shock without timely data. The second is targeted cushioning while prices adjust. The third is structural reduction of import intensity through energy efficiency, domestic renewable capacity, better logistics and export diversification. Strategic stocks should be calibrated to disruption risk and carrying cost; excessive stocks can be as costly as insufficient stocks.</w:t>
      </w:r>
    </w:p>
    <w:p>
      <w:r>
        <w:rPr>
          <w:rFonts w:ascii="Times New Roman" w:hAnsi="Times New Roman" w:eastAsia="Times New Roman"/>
          <w:sz w:val="26"/>
        </w:rPr>
        <w:t>Business associations and firms also have a role. Importers can map second-tier suppliers, negotiate alternative ports, split critical orders, stress-test cash flow and include transparent freight-adjustment clauses. Exporters can measure imported-input intensity and energy use per unit, because those metrics reveal whether currency depreciation is truly improving competitiveness. Joint procurement or shared warehousing may help smaller firms, provided competition rules and governance are respected.</w:t>
      </w:r>
    </w:p>
    <w:p>
      <w:pPr>
        <w:pStyle w:val="Heading1"/>
      </w:pPr>
      <w:r>
        <w:rPr>
          <w:rFonts w:ascii="Times New Roman" w:hAnsi="Times New Roman" w:eastAsia="Times New Roman"/>
        </w:rPr>
        <w:t>10. Conclusion</w:t>
      </w:r>
    </w:p>
    <w:p>
      <w:r>
        <w:rPr>
          <w:rFonts w:ascii="Times New Roman" w:hAnsi="Times New Roman" w:eastAsia="Times New Roman"/>
          <w:sz w:val="26"/>
        </w:rPr>
        <w:t>Bangladesh’s exposure to war and geopolitical tension is not confined to imports originating in the countries at war. The more important risk can be systemic: a benchmark price rises, a ship takes a longer route, an insurer charges more, the dollar strengthens and domestic finance tightens at the same time. These layers explain why retail prices may remain high even after a global index begins to ease.</w:t>
      </w:r>
    </w:p>
    <w:p>
      <w:r>
        <w:rPr>
          <w:rFonts w:ascii="Times New Roman" w:hAnsi="Times New Roman" w:eastAsia="Times New Roman"/>
          <w:sz w:val="26"/>
        </w:rPr>
        <w:t>Historical data show a clear period of exchange-rate depreciation and elevated inflation after 2021. The exploratory model finds a positive oil-price association and substantial inflation persistence but cannot establish causality or quantify the current 2026 shock. Policy should therefore avoid false precision. A resilient response combines transparent pricing, targeted household support, foreign-exchange and trade-finance reforms, route and supplier diversification, efficient ports, strategic inventories and lower energy intensity. For exporters, reliability and productivity are the durable sources of competitiveness; depreciation alone is not a development strategy.</w:t>
      </w:r>
    </w:p>
    <w:p>
      <w:pPr>
        <w:pStyle w:val="Heading1"/>
      </w:pPr>
      <w:r>
        <w:rPr>
          <w:rFonts w:ascii="Times New Roman" w:hAnsi="Times New Roman" w:eastAsia="Times New Roman"/>
        </w:rPr>
        <w:t>References</w:t>
      </w:r>
    </w:p>
    <w:p>
      <w:pPr>
        <w:spacing w:after="80"/>
        <w:ind w:left="360" w:hanging="360"/>
      </w:pPr>
      <w:r>
        <w:rPr>
          <w:rFonts w:ascii="Times New Roman" w:hAnsi="Times New Roman" w:eastAsia="Times New Roman"/>
          <w:sz w:val="26"/>
        </w:rPr>
        <w:t>Asian Development Bank (ADB) (2024) Asian Development Outlook September 2024. Manila: ADB. Available at: https://www.adb.org/publications/asian-development-outlook-september-2024 (Accessed: 21 September 2026).</w:t>
      </w:r>
    </w:p>
    <w:p>
      <w:pPr>
        <w:spacing w:after="80"/>
        <w:ind w:left="360" w:hanging="360"/>
      </w:pPr>
      <w:r>
        <w:rPr>
          <w:rFonts w:ascii="Times New Roman" w:hAnsi="Times New Roman" w:eastAsia="Times New Roman"/>
          <w:sz w:val="26"/>
        </w:rPr>
        <w:t>Benigno, G., di Giovanni, J., Groen, J.J.J. and Noble, A.I. (2022) “A new barometer of global supply chain pressures”, Federal Reserve Bank of New York Liberty Street Economics, 4 January. Available at: https://libertystreeteconomics.newyorkfed.org/2022/01/a-new-barometer-of-global-supply-chain-pressures/ (Accessed: 21 September 2026).</w:t>
      </w:r>
    </w:p>
    <w:p>
      <w:pPr>
        <w:spacing w:after="80"/>
        <w:ind w:left="360" w:hanging="360"/>
      </w:pPr>
      <w:r>
        <w:rPr>
          <w:rFonts w:ascii="Times New Roman" w:hAnsi="Times New Roman" w:eastAsia="Times New Roman"/>
          <w:sz w:val="26"/>
        </w:rPr>
        <w:t>Federal Reserve Bank of New York (2026) Global Supply Chain Pressure Index. Available at: https://www.newyorkfed.org/research/policy/gscpi (Accessed: 21 September 2026).</w:t>
      </w:r>
    </w:p>
    <w:p>
      <w:pPr>
        <w:spacing w:after="80"/>
        <w:ind w:left="360" w:hanging="360"/>
      </w:pPr>
      <w:r>
        <w:rPr>
          <w:rFonts w:ascii="Times New Roman" w:hAnsi="Times New Roman" w:eastAsia="Times New Roman"/>
          <w:sz w:val="26"/>
        </w:rPr>
        <w:t>International Monetary Fund (IMF) (2023) Bangladesh: 2023 Article IV Consultation, First Reviews Under the Extended Credit Facility, Extended Fund Facility, and Resilience and Sustainability Facility. Washington, DC: IMF. Available at: https://www.imf.org/en/Publications/CR/Issues/2023/12/12/Bangladesh-2023-Article-IV-Consultation-First-Reviews-Under-the-Extended-Credit-Facility-542681 (Accessed: 21 September 2026).</w:t>
      </w:r>
    </w:p>
    <w:p>
      <w:pPr>
        <w:spacing w:after="80"/>
        <w:ind w:left="360" w:hanging="360"/>
      </w:pPr>
      <w:r>
        <w:rPr>
          <w:rFonts w:ascii="Times New Roman" w:hAnsi="Times New Roman" w:eastAsia="Times New Roman"/>
          <w:sz w:val="26"/>
        </w:rPr>
        <w:t>International Monetary Fund (IMF) (2026) Nowcasting country-level trade estimates using IMF PortWatch. IMF Working Paper. Available at: https://www.imf.org/en/publications/wp/issues/2026/05/19/nowcasting-country-level-trade-estimates-using-imf-portwatch-576176 (Accessed: 21 September 2026).</w:t>
      </w:r>
    </w:p>
    <w:p>
      <w:pPr>
        <w:spacing w:after="80"/>
        <w:ind w:left="360" w:hanging="360"/>
      </w:pPr>
      <w:r>
        <w:rPr>
          <w:rFonts w:ascii="Times New Roman" w:hAnsi="Times New Roman" w:eastAsia="Times New Roman"/>
          <w:sz w:val="26"/>
        </w:rPr>
        <w:t>Reuters (2026a) “Bangladesh raises fuel prices by up to 17% amid global oil price surge”, 21 September. Available at: https://www.reuters.com/business/energy/bangladesh-raises-fuel-prices-by-up-17-amid-global-oil-price-surge-2026-09-21/ (Accessed: 21 September 2026).</w:t>
      </w:r>
    </w:p>
    <w:p>
      <w:pPr>
        <w:spacing w:after="80"/>
        <w:ind w:left="360" w:hanging="360"/>
      </w:pPr>
      <w:r>
        <w:rPr>
          <w:rFonts w:ascii="Times New Roman" w:hAnsi="Times New Roman" w:eastAsia="Times New Roman"/>
          <w:sz w:val="26"/>
        </w:rPr>
        <w:t>Reuters (2026b) “Energy disruption hits Bangladesh, Pakistan as Gulf crisis worsens”, 17 September. Available at: https://www.reuters.com/business/energy/energy-disruption-hits-bangladesh-pakistan-as-gulf-crisis-worsens-2026-09-17/ (Accessed: 21 September 2026).</w:t>
      </w:r>
    </w:p>
    <w:p>
      <w:pPr>
        <w:spacing w:after="80"/>
        <w:ind w:left="360" w:hanging="360"/>
      </w:pPr>
      <w:r>
        <w:rPr>
          <w:rFonts w:ascii="Times New Roman" w:hAnsi="Times New Roman" w:eastAsia="Times New Roman"/>
          <w:sz w:val="26"/>
        </w:rPr>
        <w:t>Reuters (2026c) “Bangladesh’s industrial growth hurt by high LNG prices, minister says”, 14 September. Available at: https://www.reuters.com/business/energy/bangladeshs-industrial-growth-hurt-by-high-lng-prices-minister-says-2026-09-14/ (Accessed: 21 September 2026).</w:t>
      </w:r>
    </w:p>
    <w:p>
      <w:pPr>
        <w:spacing w:after="80"/>
        <w:ind w:left="360" w:hanging="360"/>
      </w:pPr>
      <w:r>
        <w:rPr>
          <w:rFonts w:ascii="Times New Roman" w:hAnsi="Times New Roman" w:eastAsia="Times New Roman"/>
          <w:sz w:val="26"/>
        </w:rPr>
        <w:t>UN Trade and Development (UNCTAD) (2024) Navigating troubled waters: Impact to global trade of disruption of shipping routes in the Red Sea, Black Sea and Panama Canal. Geneva: UNCTAD. Available at: https://unctad.org/news/navigating-troubled-waters-impact-global-trade-disruption-shipping-routes-red-sea-black-sea (Accessed: 21 September 2026).</w:t>
      </w:r>
    </w:p>
    <w:p>
      <w:pPr>
        <w:spacing w:after="80"/>
        <w:ind w:left="360" w:hanging="360"/>
      </w:pPr>
      <w:r>
        <w:rPr>
          <w:rFonts w:ascii="Times New Roman" w:hAnsi="Times New Roman" w:eastAsia="Times New Roman"/>
          <w:sz w:val="26"/>
        </w:rPr>
        <w:t>United Nations Statistics Division (2026) UN Comtrade Database. Available at: https://comtradeplus.un.org/ (Accessed: 21 September 2026).</w:t>
      </w:r>
    </w:p>
    <w:p>
      <w:pPr>
        <w:spacing w:after="80"/>
        <w:ind w:left="360" w:hanging="360"/>
      </w:pPr>
      <w:r>
        <w:rPr>
          <w:rFonts w:ascii="Times New Roman" w:hAnsi="Times New Roman" w:eastAsia="Times New Roman"/>
          <w:sz w:val="26"/>
        </w:rPr>
        <w:t>World Bank (2024a) Commodity Markets Outlook, April 2024. Washington, DC: World Bank. Available at: https://www.worldbank.org/en/research/commodity-markets (Accessed: 21 September 2026).</w:t>
      </w:r>
    </w:p>
    <w:p>
      <w:pPr>
        <w:spacing w:after="80"/>
        <w:ind w:left="360" w:hanging="360"/>
      </w:pPr>
      <w:r>
        <w:rPr>
          <w:rFonts w:ascii="Times New Roman" w:hAnsi="Times New Roman" w:eastAsia="Times New Roman"/>
          <w:sz w:val="26"/>
        </w:rPr>
        <w:t>World Bank (2024b) Bangladesh Development Update. Washington, DC: World Bank. Available at: https://www.worldbank.org/en/country/bangladesh/publication/bangladesh-development-update (Accessed: 21 September 2026).</w:t>
      </w:r>
    </w:p>
    <w:p>
      <w:pPr>
        <w:spacing w:after="80"/>
        <w:ind w:left="360" w:hanging="360"/>
      </w:pPr>
      <w:r>
        <w:rPr>
          <w:rFonts w:ascii="Times New Roman" w:hAnsi="Times New Roman" w:eastAsia="Times New Roman"/>
          <w:sz w:val="26"/>
        </w:rPr>
        <w:t>World Bank (2026a) World Development Indicators. Available at: https://databank.worldbank.org/source/world-development-indicators (Accessed: 21 September 2026).</w:t>
      </w:r>
    </w:p>
    <w:p>
      <w:pPr>
        <w:spacing w:after="80"/>
        <w:ind w:left="360" w:hanging="360"/>
      </w:pPr>
      <w:r>
        <w:rPr>
          <w:rFonts w:ascii="Times New Roman" w:hAnsi="Times New Roman" w:eastAsia="Times New Roman"/>
          <w:sz w:val="26"/>
        </w:rPr>
        <w:t>World Bank (2026b) Commodity Price Data (The Pink Sheet). Available at: https://www.worldbank.org/en/research/commodity-markets (Accessed: 21 September 2026).</w:t>
      </w:r>
    </w:p>
    <w:p>
      <w:pPr>
        <w:spacing w:after="80"/>
        <w:ind w:left="360" w:hanging="360"/>
      </w:pPr>
      <w:r>
        <w:rPr>
          <w:rFonts w:ascii="Times New Roman" w:hAnsi="Times New Roman" w:eastAsia="Times New Roman"/>
          <w:b w:val="0"/>
          <w:i w:val="0"/>
          <w:sz w:val="26"/>
        </w:rPr>
        <w:t>Auer, R.A., Borio, C.E.V. and Filardo, A.J. (2017) “The globalisation of inflation: the growing importance of global value chains”, BIS Working Papers, No. 602. Basel: Bank for International Settlements. Available at: https://www.bis.org/publ/work602.htm (Accessed: 21 September 2026).</w:t>
      </w:r>
    </w:p>
    <w:p>
      <w:pPr>
        <w:spacing w:after="80"/>
        <w:ind w:left="360" w:hanging="360"/>
      </w:pPr>
      <w:r>
        <w:rPr>
          <w:rFonts w:ascii="Times New Roman" w:hAnsi="Times New Roman" w:eastAsia="Times New Roman"/>
          <w:b w:val="0"/>
          <w:i w:val="0"/>
          <w:sz w:val="26"/>
        </w:rPr>
        <w:t>Caldara, D. and Iacoviello, M. (2022) “Measuring geopolitical risk”, American Economic Review, 112(4), pp. 1194–1225. doi: 10.1257/aer.20191823.</w:t>
      </w:r>
    </w:p>
    <w:p>
      <w:pPr>
        <w:spacing w:after="80"/>
        <w:ind w:left="360" w:hanging="360"/>
      </w:pPr>
      <w:r>
        <w:rPr>
          <w:rFonts w:ascii="Times New Roman" w:hAnsi="Times New Roman" w:eastAsia="Times New Roman"/>
          <w:b w:val="0"/>
          <w:i w:val="0"/>
          <w:sz w:val="26"/>
        </w:rPr>
        <w:t>Carrière-Swallow, Y., Deb, P., Furceri, D., Jiménez, D. and Ostry, J.D. (2022) Shipping costs and inflation. IMF Working Paper WP/22/61. Washington, DC: International Monetary Fund. doi: 10.5089/9798400204685.001.</w:t>
      </w:r>
    </w:p>
    <w:p>
      <w:pPr>
        <w:spacing w:after="80"/>
        <w:ind w:left="360" w:hanging="360"/>
      </w:pPr>
      <w:r>
        <w:rPr>
          <w:rFonts w:ascii="Times New Roman" w:hAnsi="Times New Roman" w:eastAsia="Times New Roman"/>
          <w:b w:val="0"/>
          <w:i w:val="0"/>
          <w:sz w:val="26"/>
        </w:rPr>
        <w:t>Choudhri, E.U. and Hakura, D.S. (2006) “Exchange rate pass-through to domestic prices: Does the inflationary environment matter?”, Journal of International Money and Finance, 25(4), pp. 614–639. doi: 10.1016/j.jimonfin.2005.11.009.</w:t>
      </w:r>
    </w:p>
    <w:p>
      <w:pPr>
        <w:spacing w:after="80"/>
        <w:ind w:left="360" w:hanging="360"/>
      </w:pPr>
      <w:r>
        <w:rPr>
          <w:rFonts w:ascii="Times New Roman" w:hAnsi="Times New Roman" w:eastAsia="Times New Roman"/>
          <w:b w:val="0"/>
          <w:i w:val="0"/>
          <w:sz w:val="26"/>
        </w:rPr>
        <w:t>Ha, J., Stocker, M. and Yilmazkuday, H. (2020) “Inflation and exchange rate pass-through”, Journal of International Money and Finance, 105, 102187. doi: 10.1016/j.jimonfin.2020.102187.</w:t>
      </w:r>
    </w:p>
    <w:p>
      <w:pPr>
        <w:spacing w:after="80"/>
        <w:ind w:left="360" w:hanging="360"/>
      </w:pPr>
      <w:r>
        <w:rPr>
          <w:rFonts w:ascii="Times New Roman" w:hAnsi="Times New Roman" w:eastAsia="Times New Roman"/>
          <w:b w:val="0"/>
          <w:i w:val="0"/>
          <w:sz w:val="26"/>
        </w:rPr>
        <w:t>Kilian, L. (2009) “Not all oil price shocks are alike: Disentangling demand and supply shocks in the crude oil market”, American Economic Review, 99(3), pp. 1053–1069. doi: 10.1257/aer.99.3.1053.</w:t>
      </w:r>
    </w:p>
    <w:p>
      <w:pPr>
        <w:pStyle w:val="Heading1"/>
      </w:pPr>
      <w:r>
        <w:rPr>
          <w:rFonts w:ascii="Times New Roman" w:hAnsi="Times New Roman" w:eastAsia="Times New Roman"/>
        </w:rPr>
        <w:t>Appendix A. Interpretation and reproducibility notes</w:t>
      </w:r>
    </w:p>
    <w:p>
      <w:r>
        <w:rPr>
          <w:rFonts w:ascii="Times New Roman" w:hAnsi="Times New Roman" w:eastAsia="Times New Roman"/>
          <w:sz w:val="26"/>
        </w:rPr>
        <w:t>Annual percentage changes in the exchange rate and Brent are calculated as 100 times the first difference of their natural logarithms. GSCPI is the annual mean of monthly observations. The reported estimator is dynamic OLS with one lag of inflation; Newey–West HAC standard errors use one lag. No unit-root, cointegration, VAR or VECM procedure is reported. Figures and tables were generated from downloaded source files; rounding may produce small differences. Product descriptions follow the Harmonized System chapter labels returned by UN Comtrade.</w:t>
      </w:r>
    </w:p>
    <w:p>
      <w:r>
        <w:rPr>
          <w:rFonts w:ascii="Times New Roman" w:hAnsi="Times New Roman" w:eastAsia="Times New Roman"/>
          <w:sz w:val="26"/>
        </w:rPr>
        <w:t>The article separates verified historical observations from the current 2026 context. Current-event reports can change as market information is revised. Readers making commercial or policy decisions should consult the latest official notices, contracts, customs data and market quotations.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TradeBiz Economy  •  Independent analysis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0A6B72"/>
        <w:sz w:val="16"/>
      </w:rPr>
      <w:t>TRADEBIZ ECONOMY  |  RESEARCH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eastAsia="Times New Roman"/>
      <w:b w:val="0"/>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Times New Roman" w:hAnsi="Times New Roman" w:eastAsia="Times New Ro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b w:val="0"/>
      <w:bCs/>
      <w:i/>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rPr>
      <w:rFonts w:ascii="Times New Roman" w:hAnsi="Times New Roman" w:eastAsia="Times New Roman"/>
      <w:b w:val="0"/>
      <w:color w:val="000000"/>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Global Conflict to Domestic Prices</dc:title>
  <dc:subject>Bangladesh trade, inflation, energy, shipping and exchange-rate transmission</dc:subject>
  <dc:creator>Subrata Kumer Dey</dc:creator>
  <cp:keywords/>
  <dc:description>generated by python-docx</dc:description>
  <cp:lastModifiedBy/>
  <cp:revision>1</cp:revision>
  <dcterms:created xsi:type="dcterms:W3CDTF">2013-12-23T23:15:00Z</dcterms:created>
  <dcterms:modified xsi:type="dcterms:W3CDTF">2013-12-23T23:15:00Z</dcterms:modified>
  <cp:category/>
</cp:coreProperties>
</file>